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E01E" w14:textId="77777777" w:rsidR="00AF3187" w:rsidRPr="002835A8" w:rsidRDefault="00AF3187" w:rsidP="00AF3187">
      <w:pPr>
        <w:widowControl w:val="0"/>
        <w:numPr>
          <w:ilvl w:val="0"/>
          <w:numId w:val="1"/>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Cs w:val="20"/>
        </w:rPr>
      </w:pPr>
      <w:r w:rsidRPr="002835A8">
        <w:rPr>
          <w:rFonts w:ascii="Times New Roman" w:eastAsia="Times New Roman" w:hAnsi="Times New Roman" w:cs="Times New Roman"/>
          <w:b/>
          <w:bCs/>
          <w:szCs w:val="20"/>
        </w:rPr>
        <w:t>INFORMACJE DOTYCZĄCE NIERUCHOMOŚCI I PRZEDSIĘWZIĘCIA DEWELOPERSKIEGO</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3419"/>
        <w:gridCol w:w="3264"/>
      </w:tblGrid>
      <w:tr w:rsidR="00AF3187" w:rsidRPr="002835A8" w14:paraId="4F5FCEA4" w14:textId="77777777" w:rsidTr="00FC4471">
        <w:tc>
          <w:tcPr>
            <w:tcW w:w="9782" w:type="dxa"/>
            <w:gridSpan w:val="3"/>
            <w:tcBorders>
              <w:bottom w:val="single" w:sz="4" w:space="0" w:color="auto"/>
            </w:tcBorders>
            <w:shd w:val="clear" w:color="auto" w:fill="E0E0E0"/>
          </w:tcPr>
          <w:p w14:paraId="7CEA9B96" w14:textId="77777777" w:rsidR="00AF3187" w:rsidRPr="002835A8" w:rsidRDefault="00AF3187" w:rsidP="00FC4471">
            <w:pPr>
              <w:spacing w:beforeLines="60" w:before="144" w:afterLines="60" w:after="144" w:line="240" w:lineRule="auto"/>
              <w:rPr>
                <w:rFonts w:ascii="Times New Roman" w:eastAsia="Times New Roman" w:hAnsi="Times New Roman" w:cs="Times New Roman"/>
                <w:b/>
                <w:szCs w:val="20"/>
              </w:rPr>
            </w:pPr>
            <w:r w:rsidRPr="002835A8">
              <w:rPr>
                <w:rFonts w:ascii="Times New Roman" w:eastAsia="Times New Roman" w:hAnsi="Times New Roman" w:cs="Times New Roman"/>
                <w:b/>
                <w:szCs w:val="20"/>
              </w:rPr>
              <w:t>INFORMACJE DOTYCZĄCE GRUNTU I ZAGOSPO</w:t>
            </w:r>
            <w:r>
              <w:rPr>
                <w:rFonts w:ascii="Times New Roman" w:eastAsia="Times New Roman" w:hAnsi="Times New Roman" w:cs="Times New Roman"/>
                <w:b/>
                <w:szCs w:val="20"/>
              </w:rPr>
              <w:t>DAROWANIA PRZESTRZENNEGO TERENU</w:t>
            </w:r>
          </w:p>
        </w:tc>
      </w:tr>
      <w:tr w:rsidR="00AF3187" w:rsidRPr="002835A8" w14:paraId="6FB26D92" w14:textId="77777777" w:rsidTr="00FC4471">
        <w:trPr>
          <w:trHeight w:val="135"/>
        </w:trPr>
        <w:tc>
          <w:tcPr>
            <w:tcW w:w="3099" w:type="dxa"/>
            <w:shd w:val="clear" w:color="auto" w:fill="F3F3F3"/>
          </w:tcPr>
          <w:p w14:paraId="29873AE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Adres i numer działki ewidencyjnej i obrębu</w:t>
            </w:r>
            <w:r w:rsidRPr="002835A8">
              <w:rPr>
                <w:rFonts w:ascii="Times New Roman" w:eastAsia="Times New Roman" w:hAnsi="Times New Roman" w:cs="Times New Roman"/>
                <w:szCs w:val="20"/>
                <w:vertAlign w:val="superscript"/>
              </w:rPr>
              <w:footnoteReference w:customMarkFollows="1" w:id="1"/>
              <w:t>1)</w:t>
            </w:r>
          </w:p>
        </w:tc>
        <w:tc>
          <w:tcPr>
            <w:tcW w:w="6683" w:type="dxa"/>
            <w:gridSpan w:val="2"/>
          </w:tcPr>
          <w:p w14:paraId="43EA8049" w14:textId="77777777" w:rsidR="00AF3187" w:rsidRDefault="00AF3187" w:rsidP="00FC4471">
            <w:pPr>
              <w:pStyle w:val="TableParagraph"/>
              <w:jc w:val="both"/>
              <w:rPr>
                <w:rFonts w:ascii="Arial" w:hAnsi="Arial" w:cs="Arial"/>
                <w:sz w:val="18"/>
                <w:szCs w:val="18"/>
                <w:lang w:eastAsia="pl-PL"/>
              </w:rPr>
            </w:pPr>
          </w:p>
          <w:p w14:paraId="1648535A" w14:textId="77777777" w:rsidR="00AF3187" w:rsidRPr="002835A8" w:rsidRDefault="00AF3187" w:rsidP="00FC4471">
            <w:pPr>
              <w:pStyle w:val="TableParagraph"/>
              <w:jc w:val="both"/>
              <w:rPr>
                <w:szCs w:val="20"/>
              </w:rPr>
            </w:pPr>
            <w:r>
              <w:rPr>
                <w:rFonts w:ascii="Arial" w:hAnsi="Arial" w:cs="Arial"/>
                <w:sz w:val="18"/>
                <w:szCs w:val="18"/>
                <w:lang w:eastAsia="pl-PL"/>
              </w:rPr>
              <w:t xml:space="preserve">Osielsko, ul. Andrzeja </w:t>
            </w:r>
            <w:proofErr w:type="spellStart"/>
            <w:r>
              <w:rPr>
                <w:rFonts w:ascii="Arial" w:hAnsi="Arial" w:cs="Arial"/>
                <w:sz w:val="18"/>
                <w:szCs w:val="18"/>
                <w:lang w:eastAsia="pl-PL"/>
              </w:rPr>
              <w:t>Cholewskiego</w:t>
            </w:r>
            <w:proofErr w:type="spellEnd"/>
            <w:r>
              <w:rPr>
                <w:rFonts w:ascii="Arial" w:hAnsi="Arial" w:cs="Arial"/>
                <w:sz w:val="18"/>
                <w:szCs w:val="18"/>
                <w:lang w:eastAsia="pl-PL"/>
              </w:rPr>
              <w:t>, działka nr. 1309 obręb 0010</w:t>
            </w:r>
          </w:p>
        </w:tc>
      </w:tr>
      <w:tr w:rsidR="00AF3187" w:rsidRPr="002835A8" w14:paraId="59A222D7" w14:textId="77777777" w:rsidTr="00FC4471">
        <w:trPr>
          <w:trHeight w:val="98"/>
        </w:trPr>
        <w:tc>
          <w:tcPr>
            <w:tcW w:w="3099" w:type="dxa"/>
            <w:shd w:val="clear" w:color="auto" w:fill="F3F3F3"/>
          </w:tcPr>
          <w:p w14:paraId="2B227DFD"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Numer księgi wieczystej </w:t>
            </w:r>
          </w:p>
        </w:tc>
        <w:tc>
          <w:tcPr>
            <w:tcW w:w="6683" w:type="dxa"/>
            <w:gridSpan w:val="2"/>
          </w:tcPr>
          <w:p w14:paraId="654827CD" w14:textId="77777777" w:rsidR="00AF3187" w:rsidRDefault="00AF3187" w:rsidP="00FC4471">
            <w:pPr>
              <w:pStyle w:val="TableParagraph"/>
              <w:rPr>
                <w:rFonts w:ascii="Arial" w:hAnsi="Arial" w:cs="Arial"/>
                <w:sz w:val="18"/>
                <w:szCs w:val="18"/>
                <w:lang w:eastAsia="pl-PL"/>
              </w:rPr>
            </w:pPr>
            <w:r w:rsidRPr="001B2EF6">
              <w:rPr>
                <w:rFonts w:ascii="Arial" w:hAnsi="Arial" w:cs="Arial"/>
                <w:sz w:val="18"/>
                <w:szCs w:val="18"/>
                <w:lang w:eastAsia="pl-PL"/>
              </w:rPr>
              <w:t> </w:t>
            </w:r>
          </w:p>
          <w:p w14:paraId="1C2BDBF6" w14:textId="77777777" w:rsidR="00AF3187" w:rsidRPr="0047655D" w:rsidRDefault="00AF3187" w:rsidP="00FC4471">
            <w:pPr>
              <w:pStyle w:val="TableParagraph"/>
              <w:rPr>
                <w:szCs w:val="20"/>
              </w:rPr>
            </w:pPr>
            <w:r>
              <w:rPr>
                <w:rFonts w:ascii="Arial" w:hAnsi="Arial" w:cs="Arial"/>
                <w:sz w:val="18"/>
                <w:szCs w:val="18"/>
                <w:lang w:eastAsia="pl-PL"/>
              </w:rPr>
              <w:t>BY1B/00207395/3</w:t>
            </w:r>
          </w:p>
        </w:tc>
      </w:tr>
      <w:tr w:rsidR="00AF3187" w:rsidRPr="002835A8" w14:paraId="38A1DCCD" w14:textId="77777777" w:rsidTr="00FC4471">
        <w:trPr>
          <w:trHeight w:val="98"/>
        </w:trPr>
        <w:tc>
          <w:tcPr>
            <w:tcW w:w="3099" w:type="dxa"/>
            <w:shd w:val="clear" w:color="auto" w:fill="F3F3F3"/>
          </w:tcPr>
          <w:p w14:paraId="3C1F6DF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Istniejące obciążenia hipoteczne nieruchomości lub wnioski o wpis w dziale czwartym księgi wieczystej</w:t>
            </w:r>
          </w:p>
        </w:tc>
        <w:tc>
          <w:tcPr>
            <w:tcW w:w="6683" w:type="dxa"/>
            <w:gridSpan w:val="2"/>
          </w:tcPr>
          <w:p w14:paraId="1CCA9119" w14:textId="77777777" w:rsidR="00AF3187" w:rsidRDefault="00AF3187" w:rsidP="00FC4471">
            <w:pPr>
              <w:spacing w:beforeLines="60" w:before="144" w:afterLines="60" w:after="144" w:line="240" w:lineRule="auto"/>
              <w:jc w:val="both"/>
              <w:rPr>
                <w:rFonts w:ascii="Arial" w:eastAsia="Times New Roman" w:hAnsi="Arial" w:cs="Arial"/>
                <w:sz w:val="18"/>
                <w:szCs w:val="18"/>
                <w:lang w:eastAsia="pl-PL"/>
              </w:rPr>
            </w:pPr>
          </w:p>
          <w:p w14:paraId="222D22EF"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w:t>
            </w:r>
          </w:p>
        </w:tc>
      </w:tr>
      <w:tr w:rsidR="00AF3187" w:rsidRPr="002835A8" w14:paraId="207AF32F" w14:textId="77777777" w:rsidTr="00FC4471">
        <w:trPr>
          <w:trHeight w:val="97"/>
        </w:trPr>
        <w:tc>
          <w:tcPr>
            <w:tcW w:w="3099" w:type="dxa"/>
            <w:shd w:val="clear" w:color="auto" w:fill="F3F3F3"/>
          </w:tcPr>
          <w:p w14:paraId="34A0843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W przypadku braku księgi wieczystej informacja o powierzchni działki i stanie prawnym nieruchomości</w:t>
            </w:r>
            <w:r w:rsidRPr="002835A8">
              <w:rPr>
                <w:rFonts w:ascii="Times New Roman" w:eastAsia="Times New Roman" w:hAnsi="Times New Roman" w:cs="Times New Roman"/>
                <w:szCs w:val="20"/>
                <w:vertAlign w:val="superscript"/>
              </w:rPr>
              <w:footnoteReference w:customMarkFollows="1" w:id="2"/>
              <w:t>2)</w:t>
            </w:r>
            <w:r w:rsidRPr="002835A8">
              <w:rPr>
                <w:rFonts w:ascii="Times New Roman" w:eastAsia="Times New Roman" w:hAnsi="Times New Roman" w:cs="Times New Roman"/>
                <w:szCs w:val="20"/>
              </w:rPr>
              <w:t xml:space="preserve"> </w:t>
            </w:r>
          </w:p>
        </w:tc>
        <w:tc>
          <w:tcPr>
            <w:tcW w:w="6683" w:type="dxa"/>
            <w:gridSpan w:val="2"/>
          </w:tcPr>
          <w:p w14:paraId="0CFDAA85" w14:textId="77777777" w:rsidR="00AF3187" w:rsidRDefault="00AF3187" w:rsidP="00FC4471">
            <w:pPr>
              <w:spacing w:beforeLines="60" w:before="144" w:afterLines="60" w:after="144" w:line="240" w:lineRule="auto"/>
              <w:jc w:val="both"/>
              <w:rPr>
                <w:rFonts w:ascii="Arial" w:eastAsia="Times New Roman" w:hAnsi="Arial" w:cs="Arial"/>
                <w:sz w:val="18"/>
                <w:szCs w:val="18"/>
                <w:lang w:eastAsia="pl-PL"/>
              </w:rPr>
            </w:pPr>
          </w:p>
          <w:p w14:paraId="7A83770C"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5737E72C" w14:textId="77777777" w:rsidTr="00FC4471">
        <w:trPr>
          <w:trHeight w:val="97"/>
        </w:trPr>
        <w:tc>
          <w:tcPr>
            <w:tcW w:w="3099" w:type="dxa"/>
            <w:shd w:val="clear" w:color="auto" w:fill="F3F3F3"/>
          </w:tcPr>
          <w:p w14:paraId="27D0143D" w14:textId="77777777" w:rsidR="00AF3187" w:rsidRPr="005D7087" w:rsidRDefault="00AF3187" w:rsidP="00FC4471">
            <w:pPr>
              <w:spacing w:beforeLines="60" w:before="144" w:afterLines="60" w:after="144" w:line="240" w:lineRule="auto"/>
              <w:rPr>
                <w:rFonts w:ascii="Times New Roman" w:eastAsia="Times New Roman" w:hAnsi="Times New Roman" w:cs="Times New Roman"/>
                <w:szCs w:val="20"/>
              </w:rPr>
            </w:pPr>
            <w:r w:rsidRPr="005D7087">
              <w:rPr>
                <w:rFonts w:ascii="Times New Roman" w:eastAsia="Times New Roman" w:hAnsi="Times New Roman" w:cs="Times New Roman"/>
                <w:szCs w:val="20"/>
              </w:rPr>
              <w:t>Informacje dotyczące obiektów istniejących położonych w sąsiedztwie inwestycji i wpływających na warunki życia</w:t>
            </w:r>
            <w:r w:rsidRPr="005D7087">
              <w:rPr>
                <w:rFonts w:ascii="Times New Roman" w:eastAsia="Times New Roman" w:hAnsi="Times New Roman" w:cs="Times New Roman"/>
                <w:szCs w:val="20"/>
                <w:vertAlign w:val="superscript"/>
              </w:rPr>
              <w:footnoteReference w:customMarkFollows="1" w:id="3"/>
              <w:t>3)</w:t>
            </w:r>
            <w:r w:rsidRPr="005D7087">
              <w:rPr>
                <w:rFonts w:ascii="Times New Roman" w:eastAsia="Times New Roman" w:hAnsi="Times New Roman" w:cs="Times New Roman"/>
                <w:szCs w:val="20"/>
              </w:rPr>
              <w:t xml:space="preserve"> </w:t>
            </w:r>
          </w:p>
        </w:tc>
        <w:tc>
          <w:tcPr>
            <w:tcW w:w="6683" w:type="dxa"/>
            <w:gridSpan w:val="2"/>
          </w:tcPr>
          <w:p w14:paraId="74A52A8B" w14:textId="77777777" w:rsidR="00AF3187" w:rsidRDefault="00AF3187" w:rsidP="00FC4471">
            <w:pPr>
              <w:pStyle w:val="TableParagraph"/>
              <w:ind w:left="167"/>
              <w:jc w:val="both"/>
              <w:rPr>
                <w:rFonts w:ascii="Arial" w:hAnsi="Arial" w:cs="Arial"/>
                <w:sz w:val="18"/>
                <w:szCs w:val="18"/>
                <w:lang w:eastAsia="pl-PL"/>
              </w:rPr>
            </w:pPr>
            <w:r w:rsidRPr="001B2EF6">
              <w:rPr>
                <w:rFonts w:ascii="Arial" w:hAnsi="Arial" w:cs="Arial"/>
                <w:sz w:val="18"/>
                <w:szCs w:val="18"/>
                <w:lang w:eastAsia="pl-PL"/>
              </w:rPr>
              <w:t> </w:t>
            </w:r>
          </w:p>
          <w:p w14:paraId="7F5E1426" w14:textId="77777777" w:rsidR="00AF3187" w:rsidRPr="00741192" w:rsidRDefault="00AF3187" w:rsidP="00FC4471">
            <w:pPr>
              <w:pStyle w:val="TableParagraph"/>
              <w:jc w:val="both"/>
              <w:rPr>
                <w:szCs w:val="20"/>
              </w:rPr>
            </w:pPr>
            <w:r>
              <w:rPr>
                <w:rFonts w:ascii="Arial" w:hAnsi="Arial" w:cs="Arial"/>
                <w:sz w:val="18"/>
                <w:szCs w:val="18"/>
                <w:lang w:eastAsia="pl-PL"/>
              </w:rPr>
              <w:t>W sąsiedztwie działki zlokalizowana jest zabudowa mieszkaniowa jednorodzinna oraz zabudowa mieszkaniowa wielorodzinna</w:t>
            </w:r>
          </w:p>
        </w:tc>
      </w:tr>
      <w:tr w:rsidR="00AF3187" w:rsidRPr="002835A8" w14:paraId="73BC24B1" w14:textId="77777777" w:rsidTr="00FC4471">
        <w:trPr>
          <w:trHeight w:val="645"/>
        </w:trPr>
        <w:tc>
          <w:tcPr>
            <w:tcW w:w="3099" w:type="dxa"/>
            <w:vMerge w:val="restart"/>
            <w:shd w:val="clear" w:color="auto" w:fill="F3F3F3"/>
          </w:tcPr>
          <w:p w14:paraId="16AC5615"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Akty planowania przestrzennego i inne akty prawne na podstawie przepisów odrębnych na terenie objętym przedsięwzięciem deweloperskim lub zadaniem inwestycyjnym</w:t>
            </w:r>
          </w:p>
          <w:p w14:paraId="6C6F27F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 xml:space="preserve"> </w:t>
            </w:r>
          </w:p>
        </w:tc>
        <w:tc>
          <w:tcPr>
            <w:tcW w:w="3419" w:type="dxa"/>
          </w:tcPr>
          <w:p w14:paraId="7F5CFB6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Plan ogólny gminy</w:t>
            </w:r>
          </w:p>
        </w:tc>
        <w:tc>
          <w:tcPr>
            <w:tcW w:w="3264" w:type="dxa"/>
            <w:vMerge w:val="restart"/>
          </w:tcPr>
          <w:p w14:paraId="2D24B18C" w14:textId="77777777" w:rsidR="00AF3187" w:rsidRPr="0068537A" w:rsidRDefault="00AF3187" w:rsidP="00FC4471">
            <w:pPr>
              <w:pStyle w:val="TableParagraph"/>
              <w:spacing w:before="142"/>
              <w:ind w:right="93"/>
              <w:jc w:val="both"/>
              <w:rPr>
                <w:szCs w:val="20"/>
              </w:rPr>
            </w:pPr>
            <w:bookmarkStart w:id="0" w:name="_Hlk205902962"/>
            <w:r>
              <w:rPr>
                <w:rFonts w:ascii="Arial" w:hAnsi="Arial" w:cs="Arial"/>
                <w:sz w:val="18"/>
                <w:szCs w:val="18"/>
                <w:lang w:eastAsia="pl-PL"/>
              </w:rPr>
              <w:t>Miejscowy Plan Zagospodarowania Przestrzennego, uchwała numer VII/58/2020 Rady Gminy Osielsko z dnia 15 września 2020r.</w:t>
            </w:r>
            <w:bookmarkEnd w:id="0"/>
          </w:p>
        </w:tc>
      </w:tr>
      <w:tr w:rsidR="00AF3187" w:rsidRPr="002835A8" w14:paraId="0C095187" w14:textId="77777777" w:rsidTr="00FC4471">
        <w:trPr>
          <w:trHeight w:val="839"/>
        </w:trPr>
        <w:tc>
          <w:tcPr>
            <w:tcW w:w="3099" w:type="dxa"/>
            <w:vMerge/>
            <w:shd w:val="clear" w:color="auto" w:fill="F3F3F3"/>
          </w:tcPr>
          <w:p w14:paraId="13D89C8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lang w:eastAsia="pl-PL"/>
              </w:rPr>
            </w:pPr>
          </w:p>
        </w:tc>
        <w:tc>
          <w:tcPr>
            <w:tcW w:w="3419" w:type="dxa"/>
          </w:tcPr>
          <w:p w14:paraId="77F9B531"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Miejscowy plan zagospodarowania przestrzennego</w:t>
            </w:r>
          </w:p>
        </w:tc>
        <w:tc>
          <w:tcPr>
            <w:tcW w:w="3264" w:type="dxa"/>
            <w:vMerge/>
          </w:tcPr>
          <w:p w14:paraId="41A903F3"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r>
      <w:tr w:rsidR="00AF3187" w:rsidRPr="002835A8" w14:paraId="29F514F6" w14:textId="77777777" w:rsidTr="00FC4471">
        <w:trPr>
          <w:trHeight w:val="317"/>
        </w:trPr>
        <w:tc>
          <w:tcPr>
            <w:tcW w:w="3099" w:type="dxa"/>
            <w:vMerge/>
            <w:shd w:val="clear" w:color="auto" w:fill="F3F3F3"/>
          </w:tcPr>
          <w:p w14:paraId="5C89701F"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lang w:eastAsia="pl-PL"/>
              </w:rPr>
            </w:pPr>
          </w:p>
        </w:tc>
        <w:tc>
          <w:tcPr>
            <w:tcW w:w="3419" w:type="dxa"/>
          </w:tcPr>
          <w:p w14:paraId="1F9F4B6D"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 xml:space="preserve">Miejscowy plan odbudowy </w:t>
            </w:r>
          </w:p>
        </w:tc>
        <w:tc>
          <w:tcPr>
            <w:tcW w:w="3264" w:type="dxa"/>
            <w:vMerge/>
          </w:tcPr>
          <w:p w14:paraId="3D1D593C"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r>
      <w:tr w:rsidR="00AF3187" w:rsidRPr="002835A8" w14:paraId="05C97C2C" w14:textId="77777777" w:rsidTr="00FC4471">
        <w:trPr>
          <w:trHeight w:val="317"/>
        </w:trPr>
        <w:tc>
          <w:tcPr>
            <w:tcW w:w="3099" w:type="dxa"/>
            <w:vMerge/>
            <w:shd w:val="clear" w:color="auto" w:fill="F3F3F3"/>
          </w:tcPr>
          <w:p w14:paraId="3A31E3C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lang w:eastAsia="pl-PL"/>
              </w:rPr>
            </w:pPr>
          </w:p>
        </w:tc>
        <w:tc>
          <w:tcPr>
            <w:tcW w:w="3419" w:type="dxa"/>
          </w:tcPr>
          <w:p w14:paraId="26FB3A6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Inne</w:t>
            </w:r>
            <w:r w:rsidRPr="002835A8">
              <w:rPr>
                <w:rFonts w:ascii="Times New Roman" w:eastAsia="Times New Roman" w:hAnsi="Times New Roman" w:cs="Times New Roman"/>
                <w:szCs w:val="20"/>
                <w:vertAlign w:val="superscript"/>
                <w:lang w:eastAsia="pl-PL"/>
              </w:rPr>
              <w:footnoteReference w:customMarkFollows="1" w:id="4"/>
              <w:t>4)</w:t>
            </w:r>
            <w:r w:rsidRPr="002835A8">
              <w:rPr>
                <w:rFonts w:ascii="Times New Roman" w:eastAsia="Times New Roman" w:hAnsi="Times New Roman" w:cs="Times New Roman"/>
                <w:szCs w:val="20"/>
                <w:lang w:eastAsia="pl-PL"/>
              </w:rPr>
              <w:t xml:space="preserve"> </w:t>
            </w:r>
          </w:p>
        </w:tc>
        <w:tc>
          <w:tcPr>
            <w:tcW w:w="3264" w:type="dxa"/>
            <w:vMerge/>
          </w:tcPr>
          <w:p w14:paraId="0EFC72B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r>
      <w:tr w:rsidR="00AF3187" w:rsidRPr="002835A8" w14:paraId="2A46820A" w14:textId="77777777" w:rsidTr="00FC4471">
        <w:trPr>
          <w:trHeight w:val="60"/>
        </w:trPr>
        <w:tc>
          <w:tcPr>
            <w:tcW w:w="3099" w:type="dxa"/>
            <w:vMerge w:val="restart"/>
            <w:shd w:val="clear" w:color="auto" w:fill="F3F3F3"/>
          </w:tcPr>
          <w:p w14:paraId="1DAD657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lastRenderedPageBreak/>
              <w:t>Ustalenia obowiązującego miejscowego planu zagospodarowania przestrzennego dla terenu objętego przedsięwzięciem deweloperskim lub zadaniem inwestycyjnym</w:t>
            </w:r>
            <w:r w:rsidRPr="002835A8">
              <w:rPr>
                <w:rFonts w:ascii="Times New Roman" w:eastAsia="Times New Roman" w:hAnsi="Times New Roman" w:cs="Times New Roman"/>
                <w:szCs w:val="20"/>
              </w:rPr>
              <w:t xml:space="preserve"> </w:t>
            </w:r>
          </w:p>
          <w:p w14:paraId="201AA35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8F9B014"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Przeznaczenie terenu</w:t>
            </w:r>
          </w:p>
        </w:tc>
        <w:tc>
          <w:tcPr>
            <w:tcW w:w="3264" w:type="dxa"/>
          </w:tcPr>
          <w:p w14:paraId="5DE4B6D2"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2MW – przeznacza się na cel zabudowy mieszkaniowej wielorodzinnej;</w:t>
            </w:r>
          </w:p>
        </w:tc>
      </w:tr>
      <w:tr w:rsidR="00AF3187" w:rsidRPr="002835A8" w14:paraId="69D07631" w14:textId="77777777" w:rsidTr="00FC4471">
        <w:trPr>
          <w:trHeight w:val="51"/>
        </w:trPr>
        <w:tc>
          <w:tcPr>
            <w:tcW w:w="3099" w:type="dxa"/>
            <w:vMerge/>
            <w:shd w:val="clear" w:color="auto" w:fill="F3F3F3"/>
          </w:tcPr>
          <w:p w14:paraId="6DF774C0"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4946CFA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Maksymalna intensywność zabudowy</w:t>
            </w:r>
          </w:p>
        </w:tc>
        <w:tc>
          <w:tcPr>
            <w:tcW w:w="3264" w:type="dxa"/>
          </w:tcPr>
          <w:p w14:paraId="3C9914B5" w14:textId="77777777" w:rsidR="00AF3187" w:rsidRDefault="00AF3187" w:rsidP="00FC4471">
            <w:pPr>
              <w:pStyle w:val="TableParagraph"/>
              <w:jc w:val="both"/>
              <w:rPr>
                <w:rFonts w:ascii="Arial" w:hAnsi="Arial" w:cs="Arial"/>
                <w:sz w:val="18"/>
                <w:szCs w:val="18"/>
                <w:lang w:eastAsia="pl-PL"/>
              </w:rPr>
            </w:pPr>
          </w:p>
          <w:p w14:paraId="57BC31D4" w14:textId="77777777" w:rsidR="00AF3187" w:rsidRPr="002835A8" w:rsidRDefault="00AF3187" w:rsidP="00FC4471">
            <w:pPr>
              <w:pStyle w:val="TableParagraph"/>
              <w:jc w:val="both"/>
              <w:rPr>
                <w:szCs w:val="20"/>
              </w:rPr>
            </w:pPr>
            <w:r>
              <w:rPr>
                <w:rFonts w:ascii="Arial" w:hAnsi="Arial" w:cs="Arial"/>
                <w:sz w:val="18"/>
                <w:szCs w:val="18"/>
                <w:lang w:eastAsia="pl-PL"/>
              </w:rPr>
              <w:t>Wskaźnik intensywności zabudowy do 1,5</w:t>
            </w:r>
          </w:p>
        </w:tc>
      </w:tr>
      <w:tr w:rsidR="00AF3187" w:rsidRPr="002835A8" w14:paraId="6278725B" w14:textId="77777777" w:rsidTr="00FC4471">
        <w:trPr>
          <w:trHeight w:val="51"/>
        </w:trPr>
        <w:tc>
          <w:tcPr>
            <w:tcW w:w="3099" w:type="dxa"/>
            <w:vMerge/>
            <w:shd w:val="clear" w:color="auto" w:fill="F3F3F3"/>
          </w:tcPr>
          <w:p w14:paraId="7D53306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7B73FFB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Maksymalna i minimalna nadziemna intensywność zabudowy</w:t>
            </w:r>
          </w:p>
        </w:tc>
        <w:tc>
          <w:tcPr>
            <w:tcW w:w="3264" w:type="dxa"/>
          </w:tcPr>
          <w:p w14:paraId="2C26AAF0"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 xml:space="preserve">Wskaźnik intensywności zabudowy od 0,05 do 1,5 </w:t>
            </w:r>
          </w:p>
        </w:tc>
      </w:tr>
      <w:tr w:rsidR="00AF3187" w:rsidRPr="002835A8" w14:paraId="4A5D5B88" w14:textId="77777777" w:rsidTr="00FC4471">
        <w:trPr>
          <w:trHeight w:val="51"/>
        </w:trPr>
        <w:tc>
          <w:tcPr>
            <w:tcW w:w="3099" w:type="dxa"/>
            <w:vMerge/>
            <w:shd w:val="clear" w:color="auto" w:fill="F3F3F3"/>
          </w:tcPr>
          <w:p w14:paraId="41C7FD9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058D00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Maksymalna powierzchnia zabudowy</w:t>
            </w:r>
          </w:p>
        </w:tc>
        <w:tc>
          <w:tcPr>
            <w:tcW w:w="3264" w:type="dxa"/>
          </w:tcPr>
          <w:p w14:paraId="5A31FA54"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Do 70% powierzchni działki lub terenu</w:t>
            </w:r>
          </w:p>
        </w:tc>
      </w:tr>
      <w:tr w:rsidR="00AF3187" w:rsidRPr="002835A8" w14:paraId="1027A3D9" w14:textId="77777777" w:rsidTr="00FC4471">
        <w:trPr>
          <w:trHeight w:val="51"/>
        </w:trPr>
        <w:tc>
          <w:tcPr>
            <w:tcW w:w="3099" w:type="dxa"/>
            <w:vMerge/>
            <w:shd w:val="clear" w:color="auto" w:fill="F3F3F3"/>
          </w:tcPr>
          <w:p w14:paraId="7A8D434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185AD09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Maksymalna wysokość zabudowy</w:t>
            </w:r>
          </w:p>
        </w:tc>
        <w:tc>
          <w:tcPr>
            <w:tcW w:w="3264" w:type="dxa"/>
          </w:tcPr>
          <w:p w14:paraId="6F00E394" w14:textId="77777777" w:rsidR="00AF3187" w:rsidRPr="002835A8" w:rsidRDefault="00AF3187" w:rsidP="00FC4471">
            <w:pPr>
              <w:tabs>
                <w:tab w:val="left" w:pos="900"/>
              </w:tabs>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 xml:space="preserve">Wysokość zabudowy mieszkaniowej wielorodzinnej do dwóch kondygnacji nadziemnych oraz maksymalnie 10,0m </w:t>
            </w:r>
          </w:p>
        </w:tc>
      </w:tr>
      <w:tr w:rsidR="00AF3187" w:rsidRPr="002835A8" w14:paraId="3BA526A2" w14:textId="77777777" w:rsidTr="00FC4471">
        <w:trPr>
          <w:trHeight w:val="51"/>
        </w:trPr>
        <w:tc>
          <w:tcPr>
            <w:tcW w:w="3099" w:type="dxa"/>
            <w:vMerge/>
            <w:shd w:val="clear" w:color="auto" w:fill="F3F3F3"/>
          </w:tcPr>
          <w:p w14:paraId="5BC571B4"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40A7F73C"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Minimalny udział procentowy powierzchni biologicznie czynnej</w:t>
            </w:r>
          </w:p>
        </w:tc>
        <w:tc>
          <w:tcPr>
            <w:tcW w:w="3264" w:type="dxa"/>
          </w:tcPr>
          <w:p w14:paraId="06C4816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Minimum 30% powierzchni działki budowlanej należy pozostawić w formie biologicznej czynnej</w:t>
            </w:r>
          </w:p>
        </w:tc>
      </w:tr>
      <w:tr w:rsidR="00AF3187" w:rsidRPr="002835A8" w14:paraId="7EF14D6C" w14:textId="77777777" w:rsidTr="00FC4471">
        <w:trPr>
          <w:trHeight w:val="51"/>
        </w:trPr>
        <w:tc>
          <w:tcPr>
            <w:tcW w:w="3099" w:type="dxa"/>
            <w:vMerge/>
            <w:shd w:val="clear" w:color="auto" w:fill="F3F3F3"/>
          </w:tcPr>
          <w:p w14:paraId="49C7E300"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145C622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Minimalna liczba miejsc do parkowania</w:t>
            </w:r>
          </w:p>
        </w:tc>
        <w:tc>
          <w:tcPr>
            <w:tcW w:w="3264" w:type="dxa"/>
          </w:tcPr>
          <w:p w14:paraId="372E1BE7" w14:textId="77777777" w:rsidR="00AF3187" w:rsidRPr="0068537A" w:rsidRDefault="00AF3187" w:rsidP="00FC4471">
            <w:pPr>
              <w:pStyle w:val="TableParagraph"/>
              <w:jc w:val="both"/>
              <w:rPr>
                <w:highlight w:val="yellow"/>
              </w:rPr>
            </w:pPr>
            <w:r>
              <w:rPr>
                <w:rFonts w:ascii="Arial" w:hAnsi="Arial" w:cs="Arial"/>
                <w:sz w:val="18"/>
                <w:szCs w:val="18"/>
                <w:lang w:eastAsia="pl-PL"/>
              </w:rPr>
              <w:t>Obowiązuje wydzielenie miejsc parkingowych w minimalnej ilości 1,5 miejsca parkingowego na mieszkanie</w:t>
            </w:r>
          </w:p>
        </w:tc>
      </w:tr>
      <w:tr w:rsidR="00AF3187" w:rsidRPr="002835A8" w14:paraId="7C386ACF" w14:textId="77777777" w:rsidTr="00FC4471">
        <w:trPr>
          <w:trHeight w:val="51"/>
        </w:trPr>
        <w:tc>
          <w:tcPr>
            <w:tcW w:w="3099" w:type="dxa"/>
            <w:vMerge/>
            <w:shd w:val="clear" w:color="auto" w:fill="F3F3F3"/>
          </w:tcPr>
          <w:p w14:paraId="0A3426A4"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0DBB258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środowiska i zdrowia ludzi, przyrody i krajobrazu</w:t>
            </w:r>
          </w:p>
        </w:tc>
        <w:tc>
          <w:tcPr>
            <w:tcW w:w="3264" w:type="dxa"/>
          </w:tcPr>
          <w:p w14:paraId="5F9BEF4E" w14:textId="77777777" w:rsidR="00AF3187" w:rsidRPr="0068537A" w:rsidRDefault="00AF3187" w:rsidP="00FC4471">
            <w:pPr>
              <w:pStyle w:val="TableParagraph"/>
              <w:jc w:val="both"/>
              <w:rPr>
                <w:highlight w:val="yellow"/>
              </w:rPr>
            </w:pPr>
            <w:r>
              <w:rPr>
                <w:rFonts w:ascii="Arial" w:hAnsi="Arial" w:cs="Arial"/>
                <w:sz w:val="18"/>
                <w:szCs w:val="18"/>
                <w:lang w:eastAsia="pl-PL"/>
              </w:rPr>
              <w:t>Zachowanie istniejących form ukształtowania terenu z wyłączeniem realizacji obiektów budowlanych; zakaz dokonywania zmian stosunków wodnych</w:t>
            </w:r>
          </w:p>
        </w:tc>
      </w:tr>
      <w:tr w:rsidR="00AF3187" w:rsidRPr="002835A8" w14:paraId="624E9897" w14:textId="77777777" w:rsidTr="00FC4471">
        <w:trPr>
          <w:trHeight w:val="51"/>
        </w:trPr>
        <w:tc>
          <w:tcPr>
            <w:tcW w:w="3099" w:type="dxa"/>
            <w:vMerge/>
            <w:shd w:val="clear" w:color="auto" w:fill="F3F3F3"/>
          </w:tcPr>
          <w:p w14:paraId="1B66817C"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4682364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Wymagania dotyczące zabudowy i zagospodarowania terenu położonego na obszarach szczególnego zagrożenia powodzią</w:t>
            </w:r>
          </w:p>
        </w:tc>
        <w:tc>
          <w:tcPr>
            <w:tcW w:w="3264" w:type="dxa"/>
          </w:tcPr>
          <w:p w14:paraId="0C6A3A63"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45CE94CD" w14:textId="77777777" w:rsidTr="00FC4471">
        <w:trPr>
          <w:trHeight w:val="51"/>
        </w:trPr>
        <w:tc>
          <w:tcPr>
            <w:tcW w:w="3099" w:type="dxa"/>
            <w:vMerge/>
            <w:shd w:val="clear" w:color="auto" w:fill="F3F3F3"/>
          </w:tcPr>
          <w:p w14:paraId="7C40D4A2"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E2A4DC0"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dziedzictwa kulturowego i zabytków oraz dóbr kultury współczesnej</w:t>
            </w:r>
          </w:p>
        </w:tc>
        <w:tc>
          <w:tcPr>
            <w:tcW w:w="3264" w:type="dxa"/>
          </w:tcPr>
          <w:p w14:paraId="17F5A52E" w14:textId="77777777" w:rsidR="00AF3187" w:rsidRPr="002835A8" w:rsidRDefault="00AF3187" w:rsidP="00FC4471">
            <w:pPr>
              <w:adjustRightInd w:val="0"/>
              <w:jc w:val="both"/>
              <w:rPr>
                <w:rFonts w:ascii="Times New Roman" w:hAnsi="Times New Roman" w:cs="Times New Roman"/>
                <w:szCs w:val="20"/>
                <w:highlight w:val="yellow"/>
              </w:rPr>
            </w:pPr>
            <w:r>
              <w:rPr>
                <w:rFonts w:ascii="Arial" w:eastAsia="Times New Roman" w:hAnsi="Arial" w:cs="Arial"/>
                <w:sz w:val="18"/>
                <w:szCs w:val="18"/>
                <w:lang w:eastAsia="pl-PL"/>
              </w:rPr>
              <w:t>Nie dotyczy</w:t>
            </w:r>
          </w:p>
        </w:tc>
      </w:tr>
      <w:tr w:rsidR="00AF3187" w:rsidRPr="002835A8" w14:paraId="78870514" w14:textId="77777777" w:rsidTr="00FC4471">
        <w:trPr>
          <w:trHeight w:val="51"/>
        </w:trPr>
        <w:tc>
          <w:tcPr>
            <w:tcW w:w="3099" w:type="dxa"/>
            <w:vMerge/>
            <w:shd w:val="clear" w:color="auto" w:fill="F3F3F3"/>
          </w:tcPr>
          <w:p w14:paraId="212F541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2FB8D09E" w14:textId="77777777" w:rsidR="00AF3187" w:rsidRPr="0068537A" w:rsidRDefault="00AF3187" w:rsidP="00FC4471">
            <w:pPr>
              <w:spacing w:beforeLines="60" w:before="144" w:afterLines="60" w:after="144" w:line="240" w:lineRule="auto"/>
              <w:jc w:val="both"/>
              <w:rPr>
                <w:rFonts w:ascii="Times New Roman" w:eastAsia="Times New Roman" w:hAnsi="Times New Roman" w:cs="Times New Roman"/>
                <w:szCs w:val="20"/>
              </w:rPr>
            </w:pPr>
            <w:r w:rsidRPr="0068537A">
              <w:rPr>
                <w:rFonts w:ascii="Times New Roman" w:eastAsia="Times New Roman" w:hAnsi="Times New Roman" w:cs="Times New Roman"/>
                <w:szCs w:val="20"/>
                <w:lang w:eastAsia="pl-PL"/>
              </w:rPr>
              <w:t>Wymagania dotyczące ochrony innych terenów lub obiektów podlegających ochronie na podstawie przepisów odrębnych</w:t>
            </w:r>
          </w:p>
        </w:tc>
        <w:tc>
          <w:tcPr>
            <w:tcW w:w="3264" w:type="dxa"/>
          </w:tcPr>
          <w:p w14:paraId="6027F8F7" w14:textId="77777777" w:rsidR="00AF3187" w:rsidRPr="002835A8" w:rsidRDefault="00AF3187" w:rsidP="00FC4471">
            <w:pPr>
              <w:pStyle w:val="TableParagraph"/>
              <w:jc w:val="both"/>
              <w:rPr>
                <w:szCs w:val="20"/>
                <w:highlight w:val="yellow"/>
              </w:rPr>
            </w:pPr>
            <w:r>
              <w:rPr>
                <w:rFonts w:ascii="Arial" w:hAnsi="Arial" w:cs="Arial"/>
                <w:sz w:val="18"/>
                <w:szCs w:val="18"/>
                <w:lang w:eastAsia="pl-PL"/>
              </w:rPr>
              <w:t>Nie dotyczy</w:t>
            </w:r>
          </w:p>
        </w:tc>
      </w:tr>
      <w:tr w:rsidR="00AF3187" w:rsidRPr="002835A8" w14:paraId="48E7F809" w14:textId="77777777" w:rsidTr="00FC4471">
        <w:trPr>
          <w:trHeight w:val="51"/>
        </w:trPr>
        <w:tc>
          <w:tcPr>
            <w:tcW w:w="3099" w:type="dxa"/>
            <w:vMerge/>
            <w:shd w:val="clear" w:color="auto" w:fill="F3F3F3"/>
          </w:tcPr>
          <w:p w14:paraId="6EDAB8F0"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7F5C5F3"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komunikacji</w:t>
            </w:r>
          </w:p>
        </w:tc>
        <w:tc>
          <w:tcPr>
            <w:tcW w:w="3264" w:type="dxa"/>
          </w:tcPr>
          <w:p w14:paraId="0AB7D160" w14:textId="77777777" w:rsidR="00AF3187" w:rsidRPr="002835A8" w:rsidRDefault="00AF3187" w:rsidP="00FC4471">
            <w:pPr>
              <w:pStyle w:val="TableParagraph"/>
              <w:jc w:val="both"/>
              <w:rPr>
                <w:szCs w:val="20"/>
              </w:rPr>
            </w:pPr>
            <w:r>
              <w:rPr>
                <w:rFonts w:ascii="Arial" w:hAnsi="Arial" w:cs="Arial"/>
                <w:sz w:val="18"/>
                <w:szCs w:val="18"/>
                <w:lang w:eastAsia="pl-PL"/>
              </w:rPr>
              <w:t>Nie dotyczy</w:t>
            </w:r>
          </w:p>
        </w:tc>
      </w:tr>
      <w:tr w:rsidR="00AF3187" w:rsidRPr="002835A8" w14:paraId="1E793875" w14:textId="77777777" w:rsidTr="00FC4471">
        <w:trPr>
          <w:trHeight w:val="51"/>
        </w:trPr>
        <w:tc>
          <w:tcPr>
            <w:tcW w:w="3099" w:type="dxa"/>
            <w:vMerge/>
            <w:shd w:val="clear" w:color="auto" w:fill="F3F3F3"/>
          </w:tcPr>
          <w:p w14:paraId="062358E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15162B0D"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infrastruktury technicznej</w:t>
            </w:r>
          </w:p>
        </w:tc>
        <w:tc>
          <w:tcPr>
            <w:tcW w:w="3264" w:type="dxa"/>
          </w:tcPr>
          <w:p w14:paraId="0E7E4DBE" w14:textId="77777777" w:rsidR="00AF3187" w:rsidRPr="002835A8" w:rsidRDefault="00AF3187" w:rsidP="00FC4471">
            <w:pPr>
              <w:pStyle w:val="TableParagraph"/>
              <w:jc w:val="both"/>
              <w:rPr>
                <w:szCs w:val="20"/>
                <w:highlight w:val="yellow"/>
              </w:rPr>
            </w:pPr>
            <w:r>
              <w:rPr>
                <w:rFonts w:ascii="Arial" w:hAnsi="Arial" w:cs="Arial"/>
                <w:sz w:val="18"/>
                <w:szCs w:val="18"/>
                <w:lang w:eastAsia="pl-PL"/>
              </w:rPr>
              <w:t>Nie dotyczy</w:t>
            </w:r>
          </w:p>
        </w:tc>
      </w:tr>
      <w:tr w:rsidR="00AF3187" w:rsidRPr="002835A8" w14:paraId="3C47448E" w14:textId="77777777" w:rsidTr="00FC4471">
        <w:trPr>
          <w:trHeight w:val="288"/>
        </w:trPr>
        <w:tc>
          <w:tcPr>
            <w:tcW w:w="3099" w:type="dxa"/>
            <w:vMerge w:val="restart"/>
            <w:shd w:val="clear" w:color="auto" w:fill="F3F3F3"/>
          </w:tcPr>
          <w:p w14:paraId="2B77B074"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 xml:space="preserve">Ustalenia obowiązującego miejscowego planu zagospodarowania </w:t>
            </w:r>
            <w:r w:rsidRPr="002835A8">
              <w:rPr>
                <w:rFonts w:ascii="Times New Roman" w:eastAsia="Times New Roman" w:hAnsi="Times New Roman" w:cs="Times New Roman"/>
                <w:szCs w:val="20"/>
                <w:lang w:eastAsia="pl-PL"/>
              </w:rPr>
              <w:lastRenderedPageBreak/>
              <w:t>przestrzennego dla działek lub ich fragmentów, znajdujących się w odległości do 100 m od granicy terenu objętego przedsięwzięciem deweloperskim lub zadaniem inwestycyjnym</w:t>
            </w:r>
            <w:r w:rsidRPr="002835A8">
              <w:rPr>
                <w:rFonts w:ascii="Times New Roman" w:eastAsia="Times New Roman" w:hAnsi="Times New Roman" w:cs="Times New Roman"/>
                <w:szCs w:val="20"/>
                <w:vertAlign w:val="superscript"/>
              </w:rPr>
              <w:footnoteReference w:customMarkFollows="1" w:id="5"/>
              <w:t>5)</w:t>
            </w:r>
          </w:p>
        </w:tc>
        <w:tc>
          <w:tcPr>
            <w:tcW w:w="3419" w:type="dxa"/>
          </w:tcPr>
          <w:p w14:paraId="29B924B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lastRenderedPageBreak/>
              <w:t>Przeznaczenie terenu</w:t>
            </w:r>
          </w:p>
        </w:tc>
        <w:tc>
          <w:tcPr>
            <w:tcW w:w="3264" w:type="dxa"/>
          </w:tcPr>
          <w:p w14:paraId="3EC23A67" w14:textId="77777777" w:rsidR="00AF3187" w:rsidRPr="002835A8" w:rsidRDefault="00AF3187" w:rsidP="00FC4471">
            <w:pPr>
              <w:pStyle w:val="TableParagraph"/>
              <w:jc w:val="both"/>
              <w:rPr>
                <w:rFonts w:ascii="TimesNewRomanPSMT" w:hAnsi="TimesNewRomanPSMT" w:cs="TimesNewRomanPSMT"/>
                <w:szCs w:val="20"/>
              </w:rPr>
            </w:pPr>
            <w:r>
              <w:rPr>
                <w:rFonts w:ascii="Arial" w:hAnsi="Arial" w:cs="Arial"/>
                <w:sz w:val="18"/>
                <w:szCs w:val="18"/>
                <w:lang w:eastAsia="pl-PL"/>
              </w:rPr>
              <w:t>1MW – cel zabudowy mieszkaniowej wielorodzinnej                                             3MN – cel zabudowy mieszkaniowej jednorodzinnej</w:t>
            </w:r>
            <w:r>
              <w:rPr>
                <w:rFonts w:ascii="Arial" w:hAnsi="Arial" w:cs="Arial"/>
                <w:sz w:val="18"/>
                <w:szCs w:val="18"/>
                <w:lang w:eastAsia="pl-PL"/>
              </w:rPr>
              <w:br/>
              <w:t>KD-Z - cel drogi publicznej zbiorczej</w:t>
            </w:r>
          </w:p>
        </w:tc>
      </w:tr>
      <w:tr w:rsidR="00AF3187" w:rsidRPr="002835A8" w14:paraId="6D2E74C6" w14:textId="77777777" w:rsidTr="00FC4471">
        <w:trPr>
          <w:trHeight w:val="288"/>
        </w:trPr>
        <w:tc>
          <w:tcPr>
            <w:tcW w:w="3099" w:type="dxa"/>
            <w:vMerge/>
            <w:shd w:val="clear" w:color="auto" w:fill="F3F3F3"/>
          </w:tcPr>
          <w:p w14:paraId="151DCBD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32198D3"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Maksymalna intensywność zabudowy</w:t>
            </w:r>
          </w:p>
        </w:tc>
        <w:tc>
          <w:tcPr>
            <w:tcW w:w="3264" w:type="dxa"/>
          </w:tcPr>
          <w:p w14:paraId="2AF0A674" w14:textId="77777777" w:rsidR="00AF3187" w:rsidRPr="00724CFA" w:rsidRDefault="00AF3187" w:rsidP="00FC4471">
            <w:r>
              <w:rPr>
                <w:rFonts w:ascii="Arial" w:eastAsia="Times New Roman" w:hAnsi="Arial" w:cs="Arial"/>
                <w:sz w:val="18"/>
                <w:szCs w:val="18"/>
                <w:lang w:eastAsia="pl-PL"/>
              </w:rPr>
              <w:t>1MW - Wskaźnik intensywności zabudowy do 1,5</w:t>
            </w:r>
            <w:r>
              <w:rPr>
                <w:rFonts w:ascii="Arial" w:eastAsia="Times New Roman" w:hAnsi="Arial" w:cs="Arial"/>
                <w:sz w:val="18"/>
                <w:szCs w:val="18"/>
                <w:lang w:eastAsia="pl-PL"/>
              </w:rPr>
              <w:br/>
              <w:t>3MN - Wskaźnik intensywności zabudowy do 1,2</w:t>
            </w:r>
          </w:p>
        </w:tc>
      </w:tr>
      <w:tr w:rsidR="00AF3187" w:rsidRPr="002835A8" w14:paraId="5C2F4614" w14:textId="77777777" w:rsidTr="00FC4471">
        <w:trPr>
          <w:trHeight w:val="288"/>
        </w:trPr>
        <w:tc>
          <w:tcPr>
            <w:tcW w:w="3099" w:type="dxa"/>
            <w:vMerge/>
            <w:shd w:val="clear" w:color="auto" w:fill="F3F3F3"/>
          </w:tcPr>
          <w:p w14:paraId="2A42B875"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CAB22F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lang w:eastAsia="pl-PL"/>
              </w:rPr>
            </w:pPr>
            <w:r w:rsidRPr="002835A8">
              <w:rPr>
                <w:rFonts w:ascii="Times New Roman" w:eastAsia="Times New Roman" w:hAnsi="Times New Roman" w:cs="Times New Roman"/>
                <w:szCs w:val="20"/>
                <w:lang w:eastAsia="pl-PL"/>
              </w:rPr>
              <w:t>Maksymalna i minimalna nadziemna intensywność zabudowy</w:t>
            </w:r>
          </w:p>
        </w:tc>
        <w:tc>
          <w:tcPr>
            <w:tcW w:w="3264" w:type="dxa"/>
          </w:tcPr>
          <w:p w14:paraId="2C693BF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1MW - Wskaźnik intensywności zabudowy od 0,05 do 1,5</w:t>
            </w:r>
            <w:r>
              <w:rPr>
                <w:rFonts w:ascii="Arial" w:eastAsia="Times New Roman" w:hAnsi="Arial" w:cs="Arial"/>
                <w:sz w:val="18"/>
                <w:szCs w:val="18"/>
                <w:lang w:eastAsia="pl-PL"/>
              </w:rPr>
              <w:br/>
              <w:t>3MN - Wskaźnik intensywności zabudowy od 0,05 do 1,2</w:t>
            </w:r>
          </w:p>
        </w:tc>
      </w:tr>
      <w:tr w:rsidR="00AF3187" w:rsidRPr="002835A8" w14:paraId="46610AA6" w14:textId="77777777" w:rsidTr="00FC4471">
        <w:trPr>
          <w:trHeight w:val="288"/>
        </w:trPr>
        <w:tc>
          <w:tcPr>
            <w:tcW w:w="3099" w:type="dxa"/>
            <w:vMerge/>
            <w:shd w:val="clear" w:color="auto" w:fill="F3F3F3"/>
          </w:tcPr>
          <w:p w14:paraId="1CA0600F"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4F91DD6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Maksymalna wysokość zabudowy</w:t>
            </w:r>
          </w:p>
        </w:tc>
        <w:tc>
          <w:tcPr>
            <w:tcW w:w="3264" w:type="dxa"/>
          </w:tcPr>
          <w:p w14:paraId="29E80DA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1MW – maksymalnie do 15m           3MN    –    maksymalnie do 9m</w:t>
            </w:r>
          </w:p>
        </w:tc>
      </w:tr>
      <w:tr w:rsidR="00AF3187" w:rsidRPr="002835A8" w14:paraId="2CEB472A" w14:textId="77777777" w:rsidTr="00FC4471">
        <w:trPr>
          <w:trHeight w:val="288"/>
        </w:trPr>
        <w:tc>
          <w:tcPr>
            <w:tcW w:w="3099" w:type="dxa"/>
            <w:vMerge/>
            <w:shd w:val="clear" w:color="auto" w:fill="F3F3F3"/>
          </w:tcPr>
          <w:p w14:paraId="13E25E9F"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6E54A4D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lang w:eastAsia="pl-PL"/>
              </w:rPr>
            </w:pPr>
            <w:r w:rsidRPr="002835A8">
              <w:rPr>
                <w:rFonts w:ascii="Times New Roman" w:eastAsia="Times New Roman" w:hAnsi="Times New Roman" w:cs="Times New Roman"/>
                <w:szCs w:val="20"/>
                <w:lang w:eastAsia="pl-PL"/>
              </w:rPr>
              <w:t>Maksymalna powierzchnia zabudowy</w:t>
            </w:r>
          </w:p>
        </w:tc>
        <w:tc>
          <w:tcPr>
            <w:tcW w:w="3264" w:type="dxa"/>
          </w:tcPr>
          <w:p w14:paraId="4044DD51" w14:textId="77777777" w:rsidR="00AF3187" w:rsidRPr="00724CFA" w:rsidRDefault="00AF3187" w:rsidP="00FC4471">
            <w:pPr>
              <w:spacing w:beforeLines="60" w:before="144" w:afterLines="60" w:after="144"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1MW - do 70% powierzchni działki lub terenu</w:t>
            </w:r>
            <w:r>
              <w:rPr>
                <w:rFonts w:ascii="Arial" w:eastAsia="Times New Roman" w:hAnsi="Arial" w:cs="Arial"/>
                <w:sz w:val="18"/>
                <w:szCs w:val="18"/>
                <w:lang w:eastAsia="pl-PL"/>
              </w:rPr>
              <w:br/>
              <w:t>3MN - do 70% powierzchni działki lub terenu</w:t>
            </w:r>
          </w:p>
        </w:tc>
      </w:tr>
      <w:tr w:rsidR="00AF3187" w:rsidRPr="002835A8" w14:paraId="0FB820A5" w14:textId="77777777" w:rsidTr="00FC4471">
        <w:trPr>
          <w:trHeight w:val="288"/>
        </w:trPr>
        <w:tc>
          <w:tcPr>
            <w:tcW w:w="3099" w:type="dxa"/>
            <w:vMerge/>
            <w:shd w:val="clear" w:color="auto" w:fill="F3F3F3"/>
          </w:tcPr>
          <w:p w14:paraId="5915EED2"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977E2F4"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Minimalny udział procentowy powierzchni biologicznie czynnej</w:t>
            </w:r>
          </w:p>
        </w:tc>
        <w:tc>
          <w:tcPr>
            <w:tcW w:w="3264" w:type="dxa"/>
          </w:tcPr>
          <w:p w14:paraId="474A7D5D" w14:textId="77777777" w:rsidR="00AF3187" w:rsidRPr="002835A8" w:rsidRDefault="00AF3187" w:rsidP="00FC4471">
            <w:pPr>
              <w:spacing w:after="0"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1MW oraz 3MN - Minimum 30% powierzchni działki budowlanej należy pozostawić w formie biologicznej czynnej</w:t>
            </w:r>
          </w:p>
        </w:tc>
      </w:tr>
      <w:tr w:rsidR="00AF3187" w:rsidRPr="002835A8" w14:paraId="7F4A1AC3" w14:textId="77777777" w:rsidTr="00FC4471">
        <w:trPr>
          <w:trHeight w:val="288"/>
        </w:trPr>
        <w:tc>
          <w:tcPr>
            <w:tcW w:w="3099" w:type="dxa"/>
            <w:vMerge/>
            <w:shd w:val="clear" w:color="auto" w:fill="F3F3F3"/>
          </w:tcPr>
          <w:p w14:paraId="25C914D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2E3126B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Minimalna liczba miejsc do parkowania</w:t>
            </w:r>
          </w:p>
        </w:tc>
        <w:tc>
          <w:tcPr>
            <w:tcW w:w="3264" w:type="dxa"/>
          </w:tcPr>
          <w:p w14:paraId="2EA80810" w14:textId="77777777" w:rsidR="00AF3187" w:rsidRPr="005D7087" w:rsidRDefault="00AF3187" w:rsidP="00FC4471">
            <w:pPr>
              <w:autoSpaceDE w:val="0"/>
              <w:autoSpaceDN w:val="0"/>
              <w:adjustRightInd w:val="0"/>
              <w:spacing w:after="0" w:line="240" w:lineRule="auto"/>
              <w:jc w:val="both"/>
              <w:rPr>
                <w:rFonts w:ascii="TimesNewRomanPSMT" w:hAnsi="TimesNewRomanPSMT" w:cs="TimesNewRomanPSMT"/>
              </w:rPr>
            </w:pPr>
            <w:r>
              <w:rPr>
                <w:rFonts w:ascii="Arial" w:eastAsia="Times New Roman" w:hAnsi="Arial" w:cs="Arial"/>
                <w:sz w:val="18"/>
                <w:szCs w:val="18"/>
                <w:lang w:eastAsia="pl-PL"/>
              </w:rPr>
              <w:t>Obowiązuje wydzielenie miejsc parkingowych w minimalnej ilości 1,5 miejsca parkingowego na mieszkanie</w:t>
            </w:r>
          </w:p>
        </w:tc>
      </w:tr>
      <w:tr w:rsidR="00AF3187" w:rsidRPr="002835A8" w14:paraId="62064E24" w14:textId="77777777" w:rsidTr="00FC4471">
        <w:trPr>
          <w:trHeight w:val="1687"/>
        </w:trPr>
        <w:tc>
          <w:tcPr>
            <w:tcW w:w="3099" w:type="dxa"/>
            <w:vMerge w:val="restart"/>
            <w:shd w:val="clear" w:color="auto" w:fill="F3F3F3"/>
          </w:tcPr>
          <w:p w14:paraId="58F19995"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479DD4F3"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p w14:paraId="0CFF56B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AAEFF5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p w14:paraId="6686FB1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Funkcja zabudowy i zagospodarowania terenu</w:t>
            </w:r>
          </w:p>
        </w:tc>
        <w:tc>
          <w:tcPr>
            <w:tcW w:w="3264" w:type="dxa"/>
          </w:tcPr>
          <w:p w14:paraId="635C2BB9" w14:textId="77777777" w:rsidR="00AF3187" w:rsidRPr="00724CFA" w:rsidRDefault="00AF3187" w:rsidP="00FC4471">
            <w:pPr>
              <w:autoSpaceDN w:val="0"/>
              <w:spacing w:before="144" w:after="144" w:line="240" w:lineRule="auto"/>
              <w:jc w:val="both"/>
              <w:rPr>
                <w:rFonts w:ascii="Times New Roman" w:eastAsia="Times New Roman" w:hAnsi="Times New Roman" w:cs="Times New Roman"/>
                <w:sz w:val="24"/>
                <w:szCs w:val="24"/>
                <w:lang w:eastAsia="pl-PL"/>
              </w:rPr>
            </w:pPr>
            <w:r w:rsidRPr="001B2EF6">
              <w:rPr>
                <w:rFonts w:ascii="Arial" w:eastAsia="Times New Roman" w:hAnsi="Arial" w:cs="Arial"/>
                <w:sz w:val="18"/>
                <w:szCs w:val="18"/>
                <w:lang w:eastAsia="pl-PL"/>
              </w:rPr>
              <w:t>Sposób użytkowania obiektów budowlanych oraz zagospodarowania terenu</w:t>
            </w:r>
          </w:p>
        </w:tc>
      </w:tr>
      <w:tr w:rsidR="00AF3187" w:rsidRPr="002835A8" w14:paraId="3C1311DF" w14:textId="77777777" w:rsidTr="00FC4471">
        <w:trPr>
          <w:trHeight w:val="181"/>
        </w:trPr>
        <w:tc>
          <w:tcPr>
            <w:tcW w:w="3099" w:type="dxa"/>
            <w:vMerge/>
            <w:shd w:val="clear" w:color="auto" w:fill="F3F3F3"/>
          </w:tcPr>
          <w:p w14:paraId="26F0B789"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6683" w:type="dxa"/>
            <w:gridSpan w:val="2"/>
          </w:tcPr>
          <w:p w14:paraId="7BBDD14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Cechy zabudowy i zagospodarowania terenu:</w:t>
            </w:r>
          </w:p>
        </w:tc>
      </w:tr>
      <w:tr w:rsidR="00AF3187" w:rsidRPr="002835A8" w14:paraId="37269AC2" w14:textId="77777777" w:rsidTr="00FC4471">
        <w:trPr>
          <w:trHeight w:val="181"/>
        </w:trPr>
        <w:tc>
          <w:tcPr>
            <w:tcW w:w="3099" w:type="dxa"/>
            <w:vMerge/>
            <w:shd w:val="clear" w:color="auto" w:fill="F3F3F3"/>
          </w:tcPr>
          <w:p w14:paraId="42A179F1"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47CFFBE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gabaryty</w:t>
            </w:r>
          </w:p>
        </w:tc>
        <w:tc>
          <w:tcPr>
            <w:tcW w:w="3264" w:type="dxa"/>
          </w:tcPr>
          <w:p w14:paraId="10FF8F3C"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24EDBDFC" w14:textId="77777777" w:rsidTr="00FC4471">
        <w:trPr>
          <w:trHeight w:val="181"/>
        </w:trPr>
        <w:tc>
          <w:tcPr>
            <w:tcW w:w="3099" w:type="dxa"/>
            <w:vMerge/>
            <w:shd w:val="clear" w:color="auto" w:fill="F3F3F3"/>
          </w:tcPr>
          <w:p w14:paraId="5F0BD386"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63BEADB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forma architektoniczna</w:t>
            </w:r>
          </w:p>
        </w:tc>
        <w:tc>
          <w:tcPr>
            <w:tcW w:w="3264" w:type="dxa"/>
          </w:tcPr>
          <w:p w14:paraId="251B573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38332420" w14:textId="77777777" w:rsidTr="00FC4471">
        <w:trPr>
          <w:trHeight w:val="181"/>
        </w:trPr>
        <w:tc>
          <w:tcPr>
            <w:tcW w:w="3099" w:type="dxa"/>
            <w:vMerge/>
            <w:shd w:val="clear" w:color="auto" w:fill="F3F3F3"/>
          </w:tcPr>
          <w:p w14:paraId="4F9E40B1"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05249F7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usytuowanie linii zabudowy</w:t>
            </w:r>
          </w:p>
        </w:tc>
        <w:tc>
          <w:tcPr>
            <w:tcW w:w="3264" w:type="dxa"/>
          </w:tcPr>
          <w:p w14:paraId="690677E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7D7D2A5E" w14:textId="77777777" w:rsidTr="00FC4471">
        <w:trPr>
          <w:trHeight w:val="181"/>
        </w:trPr>
        <w:tc>
          <w:tcPr>
            <w:tcW w:w="3099" w:type="dxa"/>
            <w:vMerge/>
            <w:shd w:val="clear" w:color="auto" w:fill="F3F3F3"/>
          </w:tcPr>
          <w:p w14:paraId="1CFDAA7B"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4A81F5C4"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intensywność wykorzystania terenu</w:t>
            </w:r>
          </w:p>
        </w:tc>
        <w:tc>
          <w:tcPr>
            <w:tcW w:w="3264" w:type="dxa"/>
          </w:tcPr>
          <w:p w14:paraId="76BE4C2C"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1B836E71" w14:textId="77777777" w:rsidTr="00FC4471">
        <w:trPr>
          <w:trHeight w:val="181"/>
        </w:trPr>
        <w:tc>
          <w:tcPr>
            <w:tcW w:w="3099" w:type="dxa"/>
            <w:vMerge/>
            <w:shd w:val="clear" w:color="auto" w:fill="F3F3F3"/>
          </w:tcPr>
          <w:p w14:paraId="45CF580D"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3E71C6F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środowiska i zdrowia ludzi, przyrody i krajobrazu</w:t>
            </w:r>
          </w:p>
        </w:tc>
        <w:tc>
          <w:tcPr>
            <w:tcW w:w="3264" w:type="dxa"/>
          </w:tcPr>
          <w:p w14:paraId="2DEA95D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760C3F3F" w14:textId="77777777" w:rsidTr="00FC4471">
        <w:trPr>
          <w:trHeight w:val="181"/>
        </w:trPr>
        <w:tc>
          <w:tcPr>
            <w:tcW w:w="3099" w:type="dxa"/>
            <w:vMerge/>
            <w:shd w:val="clear" w:color="auto" w:fill="F3F3F3"/>
          </w:tcPr>
          <w:p w14:paraId="1C3098E7"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0F66A412"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wymagania dotyczące zabudowy i zagospodarowania terenu położonego na obszarach szczególnego zagrożenia powodzią</w:t>
            </w:r>
          </w:p>
        </w:tc>
        <w:tc>
          <w:tcPr>
            <w:tcW w:w="3264" w:type="dxa"/>
          </w:tcPr>
          <w:p w14:paraId="6FB10B52"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745F7430" w14:textId="77777777" w:rsidTr="00FC4471">
        <w:trPr>
          <w:trHeight w:val="181"/>
        </w:trPr>
        <w:tc>
          <w:tcPr>
            <w:tcW w:w="3099" w:type="dxa"/>
            <w:vMerge/>
            <w:shd w:val="clear" w:color="auto" w:fill="F3F3F3"/>
          </w:tcPr>
          <w:p w14:paraId="4EE35AD5"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03207C7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dziedzictwa kulturowego i zabytków oraz dóbr kultury współczesnej</w:t>
            </w:r>
          </w:p>
        </w:tc>
        <w:tc>
          <w:tcPr>
            <w:tcW w:w="3264" w:type="dxa"/>
          </w:tcPr>
          <w:p w14:paraId="1053A7F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756B4FAA" w14:textId="77777777" w:rsidTr="00FC4471">
        <w:trPr>
          <w:trHeight w:val="181"/>
        </w:trPr>
        <w:tc>
          <w:tcPr>
            <w:tcW w:w="3099" w:type="dxa"/>
            <w:vMerge/>
            <w:shd w:val="clear" w:color="auto" w:fill="F3F3F3"/>
          </w:tcPr>
          <w:p w14:paraId="0CF954E5"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543A879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wymagania dotyczące ochrony innych terenów lub obiektów podlegających ochronie na podstawie przepisów odrębnych</w:t>
            </w:r>
          </w:p>
        </w:tc>
        <w:tc>
          <w:tcPr>
            <w:tcW w:w="3264" w:type="dxa"/>
          </w:tcPr>
          <w:p w14:paraId="64719B9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5AD6A290" w14:textId="77777777" w:rsidTr="00FC4471">
        <w:trPr>
          <w:trHeight w:val="181"/>
        </w:trPr>
        <w:tc>
          <w:tcPr>
            <w:tcW w:w="3099" w:type="dxa"/>
            <w:vMerge/>
            <w:shd w:val="clear" w:color="auto" w:fill="F3F3F3"/>
          </w:tcPr>
          <w:p w14:paraId="30DC1C1A"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072EE84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komunikacji</w:t>
            </w:r>
          </w:p>
        </w:tc>
        <w:tc>
          <w:tcPr>
            <w:tcW w:w="3264" w:type="dxa"/>
          </w:tcPr>
          <w:p w14:paraId="2D92265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2C452C12" w14:textId="77777777" w:rsidTr="00FC4471">
        <w:trPr>
          <w:trHeight w:val="181"/>
        </w:trPr>
        <w:tc>
          <w:tcPr>
            <w:tcW w:w="3099" w:type="dxa"/>
            <w:vMerge/>
            <w:shd w:val="clear" w:color="auto" w:fill="F3F3F3"/>
          </w:tcPr>
          <w:p w14:paraId="772753EA"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3ACB1D8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infrastruktury technicznej</w:t>
            </w:r>
          </w:p>
        </w:tc>
        <w:tc>
          <w:tcPr>
            <w:tcW w:w="3264" w:type="dxa"/>
          </w:tcPr>
          <w:p w14:paraId="1D38EF6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62F07170" w14:textId="77777777" w:rsidTr="00FC4471">
        <w:trPr>
          <w:trHeight w:val="73"/>
        </w:trPr>
        <w:tc>
          <w:tcPr>
            <w:tcW w:w="3099" w:type="dxa"/>
            <w:vMerge/>
            <w:shd w:val="clear" w:color="auto" w:fill="F3F3F3"/>
          </w:tcPr>
          <w:p w14:paraId="74B8665C"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p>
        </w:tc>
        <w:tc>
          <w:tcPr>
            <w:tcW w:w="3419" w:type="dxa"/>
          </w:tcPr>
          <w:p w14:paraId="613BBD9F"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Minimalny udział procentowy powierzchni biologicznie czynnej</w:t>
            </w:r>
          </w:p>
        </w:tc>
        <w:tc>
          <w:tcPr>
            <w:tcW w:w="3264" w:type="dxa"/>
          </w:tcPr>
          <w:p w14:paraId="4BE673AC"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7ADCA145" w14:textId="77777777" w:rsidTr="00FC4471">
        <w:trPr>
          <w:trHeight w:val="73"/>
        </w:trPr>
        <w:tc>
          <w:tcPr>
            <w:tcW w:w="3099" w:type="dxa"/>
            <w:vMerge/>
            <w:shd w:val="clear" w:color="auto" w:fill="F3F3F3"/>
          </w:tcPr>
          <w:p w14:paraId="3D3CBB5E"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p>
        </w:tc>
        <w:tc>
          <w:tcPr>
            <w:tcW w:w="3419" w:type="dxa"/>
          </w:tcPr>
          <w:p w14:paraId="5DECCB4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Nadziemna intensywność zabudowy</w:t>
            </w:r>
          </w:p>
        </w:tc>
        <w:tc>
          <w:tcPr>
            <w:tcW w:w="3264" w:type="dxa"/>
          </w:tcPr>
          <w:p w14:paraId="603F639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3E8B4018" w14:textId="77777777" w:rsidTr="00FC4471">
        <w:trPr>
          <w:trHeight w:val="73"/>
        </w:trPr>
        <w:tc>
          <w:tcPr>
            <w:tcW w:w="3099" w:type="dxa"/>
            <w:vMerge/>
            <w:shd w:val="clear" w:color="auto" w:fill="F3F3F3"/>
          </w:tcPr>
          <w:p w14:paraId="7D23D936"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p>
        </w:tc>
        <w:tc>
          <w:tcPr>
            <w:tcW w:w="3419" w:type="dxa"/>
          </w:tcPr>
          <w:p w14:paraId="6350E44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Wysokość zabudowy </w:t>
            </w:r>
          </w:p>
        </w:tc>
        <w:tc>
          <w:tcPr>
            <w:tcW w:w="3264" w:type="dxa"/>
          </w:tcPr>
          <w:p w14:paraId="315254C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6E4EFB55" w14:textId="77777777" w:rsidTr="00FC4471">
        <w:trPr>
          <w:trHeight w:val="735"/>
        </w:trPr>
        <w:tc>
          <w:tcPr>
            <w:tcW w:w="3099" w:type="dxa"/>
            <w:vMerge w:val="restart"/>
            <w:shd w:val="clear" w:color="auto" w:fill="F3F3F3"/>
          </w:tcPr>
          <w:p w14:paraId="7F269E79" w14:textId="77777777" w:rsidR="00AF3187" w:rsidRPr="00972746" w:rsidRDefault="00AF3187" w:rsidP="00FC4471">
            <w:pPr>
              <w:spacing w:beforeLines="60" w:before="144" w:afterLines="60" w:after="144" w:line="240" w:lineRule="auto"/>
              <w:rPr>
                <w:rFonts w:ascii="Times New Roman" w:eastAsia="Times New Roman" w:hAnsi="Times New Roman" w:cs="Times New Roman"/>
                <w:szCs w:val="20"/>
              </w:rPr>
            </w:pPr>
            <w:r w:rsidRPr="00972746">
              <w:rPr>
                <w:rFonts w:ascii="Times New Roman" w:eastAsia="Times New Roman" w:hAnsi="Times New Roman" w:cs="Times New Roman"/>
                <w:szCs w:val="20"/>
              </w:rPr>
              <w:t>Informacje dotyczące przewidzianych inwestycji w promieniu 1 km od przedmiotowej nieruchomości</w:t>
            </w:r>
            <w:r w:rsidRPr="00972746">
              <w:rPr>
                <w:rStyle w:val="Odwoanieprzypisudolnego"/>
                <w:rFonts w:ascii="Times New Roman" w:eastAsia="Times New Roman" w:hAnsi="Times New Roman"/>
                <w:szCs w:val="20"/>
              </w:rPr>
              <w:footnoteReference w:customMarkFollows="1" w:id="6"/>
              <w:t>6)</w:t>
            </w:r>
            <w:r w:rsidRPr="00972746">
              <w:rPr>
                <w:rFonts w:ascii="Times New Roman" w:eastAsia="Times New Roman" w:hAnsi="Times New Roman" w:cs="Times New Roman"/>
                <w:szCs w:val="20"/>
              </w:rPr>
              <w:t>, zawarte w:</w:t>
            </w:r>
          </w:p>
          <w:p w14:paraId="079A8C49" w14:textId="77777777" w:rsidR="00AF3187" w:rsidRPr="00972746"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4F04779A" w14:textId="77777777" w:rsidR="00AF3187" w:rsidRPr="00972746" w:rsidRDefault="00AF3187" w:rsidP="00FC4471">
            <w:pPr>
              <w:spacing w:beforeLines="60" w:before="144" w:afterLines="60" w:after="144" w:line="240" w:lineRule="auto"/>
              <w:rPr>
                <w:rFonts w:ascii="Times New Roman" w:eastAsia="Times New Roman" w:hAnsi="Times New Roman" w:cs="Times New Roman"/>
                <w:szCs w:val="20"/>
              </w:rPr>
            </w:pPr>
            <w:r w:rsidRPr="00972746">
              <w:rPr>
                <w:rFonts w:ascii="Times New Roman" w:eastAsia="Times New Roman" w:hAnsi="Times New Roman" w:cs="Times New Roman"/>
                <w:szCs w:val="20"/>
              </w:rPr>
              <w:t>miejscowych planach zagospodarowania przestrzennego</w:t>
            </w:r>
          </w:p>
        </w:tc>
        <w:tc>
          <w:tcPr>
            <w:tcW w:w="3264" w:type="dxa"/>
          </w:tcPr>
          <w:p w14:paraId="796D39CA" w14:textId="77777777" w:rsidR="00AF3187" w:rsidRPr="000D50A5"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Zgodnie z pismem Wójta Gminy Osielsko z dnia 18.12.2023r nie przewiduje się budowy linii szynowych, oczyszczalni ścieków, spalarni śmieci, lokalizacji cmentarzy oraz wysypisk śmieci, a także parkingów publicznych.</w:t>
            </w:r>
          </w:p>
        </w:tc>
      </w:tr>
      <w:tr w:rsidR="00AF3187" w:rsidRPr="002835A8" w14:paraId="573C60F1" w14:textId="77777777" w:rsidTr="00FC4471">
        <w:trPr>
          <w:trHeight w:val="71"/>
        </w:trPr>
        <w:tc>
          <w:tcPr>
            <w:tcW w:w="3099" w:type="dxa"/>
            <w:vMerge/>
            <w:shd w:val="clear" w:color="auto" w:fill="F3F3F3"/>
          </w:tcPr>
          <w:p w14:paraId="670CDCF2"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highlight w:val="yellow"/>
                <w:lang w:eastAsia="pl-PL"/>
              </w:rPr>
            </w:pPr>
          </w:p>
        </w:tc>
        <w:tc>
          <w:tcPr>
            <w:tcW w:w="3419" w:type="dxa"/>
          </w:tcPr>
          <w:p w14:paraId="73850D7F" w14:textId="77777777" w:rsidR="00AF3187" w:rsidRPr="002835A8" w:rsidRDefault="00AF3187" w:rsidP="00FC4471">
            <w:pPr>
              <w:widowControl w:val="0"/>
              <w:autoSpaceDE w:val="0"/>
              <w:autoSpaceDN w:val="0"/>
              <w:adjustRightInd w:val="0"/>
              <w:spacing w:after="0" w:line="360" w:lineRule="auto"/>
              <w:rPr>
                <w:rFonts w:ascii="Times New Roman" w:eastAsia="Times New Roman" w:hAnsi="Times New Roman" w:cs="Times New Roman"/>
                <w:szCs w:val="20"/>
                <w:highlight w:val="yellow"/>
                <w:lang w:eastAsia="pl-PL"/>
              </w:rPr>
            </w:pPr>
            <w:r w:rsidRPr="00081095">
              <w:rPr>
                <w:rFonts w:ascii="Times New Roman" w:eastAsia="Times New Roman" w:hAnsi="Times New Roman" w:cs="Times New Roman"/>
                <w:szCs w:val="20"/>
                <w:lang w:eastAsia="pl-PL"/>
              </w:rPr>
              <w:t>decyzjach o warunkach zabudowy i zagospodarowania terenu</w:t>
            </w:r>
          </w:p>
        </w:tc>
        <w:tc>
          <w:tcPr>
            <w:tcW w:w="3264" w:type="dxa"/>
          </w:tcPr>
          <w:p w14:paraId="5263BC51"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731053D0" w14:textId="77777777" w:rsidTr="00FC4471">
        <w:trPr>
          <w:trHeight w:val="71"/>
        </w:trPr>
        <w:tc>
          <w:tcPr>
            <w:tcW w:w="3099" w:type="dxa"/>
            <w:vMerge/>
            <w:shd w:val="clear" w:color="auto" w:fill="F3F3F3"/>
          </w:tcPr>
          <w:p w14:paraId="425FDE82"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highlight w:val="yellow"/>
                <w:lang w:eastAsia="pl-PL"/>
              </w:rPr>
            </w:pPr>
          </w:p>
        </w:tc>
        <w:tc>
          <w:tcPr>
            <w:tcW w:w="3419" w:type="dxa"/>
          </w:tcPr>
          <w:p w14:paraId="72E7FCB6" w14:textId="77777777" w:rsidR="00AF3187" w:rsidRPr="00D13E2B" w:rsidRDefault="00AF3187" w:rsidP="00FC4471">
            <w:pPr>
              <w:spacing w:beforeLines="60" w:before="144" w:afterLines="60" w:after="144" w:line="240" w:lineRule="auto"/>
              <w:rPr>
                <w:rFonts w:ascii="Times New Roman" w:eastAsia="Times New Roman" w:hAnsi="Times New Roman" w:cs="Times New Roman"/>
                <w:szCs w:val="20"/>
                <w:highlight w:val="yellow"/>
              </w:rPr>
            </w:pPr>
            <w:r w:rsidRPr="00F37B0B">
              <w:rPr>
                <w:rFonts w:ascii="Times New Roman" w:eastAsia="Times New Roman" w:hAnsi="Times New Roman" w:cs="Times New Roman"/>
                <w:szCs w:val="20"/>
              </w:rPr>
              <w:t>decyzjach o środowiskowych uwarunkowaniach</w:t>
            </w:r>
          </w:p>
        </w:tc>
        <w:tc>
          <w:tcPr>
            <w:tcW w:w="3264" w:type="dxa"/>
          </w:tcPr>
          <w:p w14:paraId="48D6CA01" w14:textId="77777777" w:rsidR="00AF3187" w:rsidRPr="00F12EA9"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4CA2B416" w14:textId="77777777" w:rsidTr="00FC4471">
        <w:trPr>
          <w:trHeight w:val="71"/>
        </w:trPr>
        <w:tc>
          <w:tcPr>
            <w:tcW w:w="3099" w:type="dxa"/>
            <w:vMerge/>
            <w:shd w:val="clear" w:color="auto" w:fill="F3F3F3"/>
          </w:tcPr>
          <w:p w14:paraId="546C4F64"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highlight w:val="yellow"/>
                <w:lang w:eastAsia="pl-PL"/>
              </w:rPr>
            </w:pPr>
          </w:p>
        </w:tc>
        <w:tc>
          <w:tcPr>
            <w:tcW w:w="3419" w:type="dxa"/>
          </w:tcPr>
          <w:p w14:paraId="5A2EA0D8"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decyzjach o obszarach ograniczonego użytkowania</w:t>
            </w:r>
          </w:p>
        </w:tc>
        <w:tc>
          <w:tcPr>
            <w:tcW w:w="3264" w:type="dxa"/>
          </w:tcPr>
          <w:p w14:paraId="49DD5F6D"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3EC58E67" w14:textId="77777777" w:rsidTr="00FC4471">
        <w:trPr>
          <w:trHeight w:val="71"/>
        </w:trPr>
        <w:tc>
          <w:tcPr>
            <w:tcW w:w="3099" w:type="dxa"/>
            <w:vMerge/>
            <w:shd w:val="clear" w:color="auto" w:fill="F3F3F3"/>
          </w:tcPr>
          <w:p w14:paraId="18E38184"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6AEC7067"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miejscowych planach odbudowy</w:t>
            </w:r>
          </w:p>
        </w:tc>
        <w:tc>
          <w:tcPr>
            <w:tcW w:w="3264" w:type="dxa"/>
          </w:tcPr>
          <w:p w14:paraId="0BA11C4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2518EB27" w14:textId="77777777" w:rsidTr="00FC4471">
        <w:trPr>
          <w:trHeight w:val="71"/>
        </w:trPr>
        <w:tc>
          <w:tcPr>
            <w:tcW w:w="3099" w:type="dxa"/>
            <w:vMerge/>
            <w:shd w:val="clear" w:color="auto" w:fill="F3F3F3"/>
          </w:tcPr>
          <w:p w14:paraId="3BF4E660"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3D36CC5D"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mapach zagrożenia powodziowego i mapach ryzyka powodziowego</w:t>
            </w:r>
          </w:p>
        </w:tc>
        <w:tc>
          <w:tcPr>
            <w:tcW w:w="3264" w:type="dxa"/>
          </w:tcPr>
          <w:p w14:paraId="7A4ADD4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F3187" w:rsidRPr="002835A8" w14:paraId="670957B7" w14:textId="77777777" w:rsidTr="00FC4471">
        <w:trPr>
          <w:trHeight w:val="71"/>
        </w:trPr>
        <w:tc>
          <w:tcPr>
            <w:tcW w:w="3099" w:type="dxa"/>
            <w:vMerge/>
            <w:shd w:val="clear" w:color="auto" w:fill="F3F3F3"/>
          </w:tcPr>
          <w:p w14:paraId="48020DB6"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6683" w:type="dxa"/>
            <w:gridSpan w:val="2"/>
          </w:tcPr>
          <w:p w14:paraId="11D4D118" w14:textId="77777777" w:rsidR="00AF3187" w:rsidRPr="002835A8" w:rsidRDefault="00AF3187" w:rsidP="00FC4471">
            <w:pPr>
              <w:widowControl w:val="0"/>
              <w:autoSpaceDE w:val="0"/>
              <w:autoSpaceDN w:val="0"/>
              <w:adjustRightInd w:val="0"/>
              <w:spacing w:after="0"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Ustalenia decyzji w zakresie rozmieszczenia inwestycji celu publicznego, mogące mieć znaczenie dla terenu objętego przedsięwzięciem deweloperskim lub zadaniem inwestycyjnym:</w:t>
            </w:r>
          </w:p>
          <w:p w14:paraId="2C662E42"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highlight w:val="yellow"/>
              </w:rPr>
            </w:pPr>
          </w:p>
        </w:tc>
      </w:tr>
      <w:tr w:rsidR="00AF3187" w:rsidRPr="002835A8" w14:paraId="51AF37B2" w14:textId="77777777" w:rsidTr="00FC4471">
        <w:trPr>
          <w:trHeight w:val="84"/>
        </w:trPr>
        <w:tc>
          <w:tcPr>
            <w:tcW w:w="3099" w:type="dxa"/>
            <w:vMerge/>
            <w:shd w:val="clear" w:color="auto" w:fill="F3F3F3"/>
          </w:tcPr>
          <w:p w14:paraId="6C76FB18"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2B8BABF9" w14:textId="77777777" w:rsidR="00AF3187" w:rsidRPr="00AE22AA"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870B07">
              <w:rPr>
                <w:rFonts w:ascii="Times New Roman" w:eastAsia="Times New Roman" w:hAnsi="Times New Roman" w:cs="Times New Roman"/>
                <w:szCs w:val="20"/>
              </w:rPr>
              <w:t>decyzja o zezwoleniu na realizację inwestycji drogowej</w:t>
            </w:r>
          </w:p>
        </w:tc>
        <w:tc>
          <w:tcPr>
            <w:tcW w:w="3264" w:type="dxa"/>
          </w:tcPr>
          <w:p w14:paraId="28514ACC" w14:textId="77777777" w:rsidR="00AF3187" w:rsidRPr="00AE22AA" w:rsidRDefault="00AF3187" w:rsidP="00FC4471">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Nie przewiduje się</w:t>
            </w:r>
          </w:p>
        </w:tc>
      </w:tr>
      <w:tr w:rsidR="00AF3187" w:rsidRPr="002835A8" w14:paraId="2815DA7F" w14:textId="77777777" w:rsidTr="00FC4471">
        <w:trPr>
          <w:trHeight w:val="81"/>
        </w:trPr>
        <w:tc>
          <w:tcPr>
            <w:tcW w:w="3099" w:type="dxa"/>
            <w:vMerge/>
            <w:shd w:val="clear" w:color="auto" w:fill="F3F3F3"/>
          </w:tcPr>
          <w:p w14:paraId="49F87B5C"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5CA14E23" w14:textId="77777777" w:rsidR="00AF3187" w:rsidRPr="00C042D7" w:rsidRDefault="00AF3187" w:rsidP="00FC4471">
            <w:pPr>
              <w:spacing w:beforeLines="60" w:before="144" w:afterLines="60" w:after="144" w:line="240" w:lineRule="auto"/>
              <w:jc w:val="both"/>
              <w:rPr>
                <w:rFonts w:ascii="Times New Roman" w:eastAsia="Times New Roman" w:hAnsi="Times New Roman" w:cs="Times New Roman"/>
                <w:szCs w:val="20"/>
              </w:rPr>
            </w:pPr>
            <w:r w:rsidRPr="00C042D7">
              <w:rPr>
                <w:rFonts w:ascii="Times New Roman" w:eastAsia="Times New Roman" w:hAnsi="Times New Roman" w:cs="Times New Roman"/>
                <w:szCs w:val="20"/>
              </w:rPr>
              <w:t>decyzja o ustaleniu lokalizacji linii kolejowej</w:t>
            </w:r>
          </w:p>
        </w:tc>
        <w:tc>
          <w:tcPr>
            <w:tcW w:w="3264" w:type="dxa"/>
          </w:tcPr>
          <w:p w14:paraId="333F8D20" w14:textId="77777777" w:rsidR="00AF3187" w:rsidRPr="00C042D7"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przewiduje się</w:t>
            </w:r>
          </w:p>
        </w:tc>
      </w:tr>
      <w:tr w:rsidR="00AF3187" w:rsidRPr="002835A8" w14:paraId="79C4385D" w14:textId="77777777" w:rsidTr="00FC4471">
        <w:trPr>
          <w:trHeight w:val="81"/>
        </w:trPr>
        <w:tc>
          <w:tcPr>
            <w:tcW w:w="3099" w:type="dxa"/>
            <w:vMerge/>
            <w:shd w:val="clear" w:color="auto" w:fill="F3F3F3"/>
          </w:tcPr>
          <w:p w14:paraId="696BF3C1"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6D73271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decyzja o zezwoleniu na realizację inwestycji w zakresie lotniska użytku publicznego</w:t>
            </w:r>
          </w:p>
        </w:tc>
        <w:tc>
          <w:tcPr>
            <w:tcW w:w="3264" w:type="dxa"/>
          </w:tcPr>
          <w:p w14:paraId="75AFF12D"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przewiduje się</w:t>
            </w:r>
          </w:p>
        </w:tc>
      </w:tr>
      <w:tr w:rsidR="00AF3187" w:rsidRPr="002835A8" w14:paraId="44D9F350" w14:textId="77777777" w:rsidTr="00FC4471">
        <w:trPr>
          <w:trHeight w:val="81"/>
        </w:trPr>
        <w:tc>
          <w:tcPr>
            <w:tcW w:w="3099" w:type="dxa"/>
            <w:vMerge/>
            <w:shd w:val="clear" w:color="auto" w:fill="F3F3F3"/>
          </w:tcPr>
          <w:p w14:paraId="77B35313"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3586F385"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decyzja o pozwoleniu na realizację inwestycji w zakresie budowli przeciwpowodziowych</w:t>
            </w:r>
          </w:p>
        </w:tc>
        <w:tc>
          <w:tcPr>
            <w:tcW w:w="3264" w:type="dxa"/>
          </w:tcPr>
          <w:p w14:paraId="1538F349"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przewiduje się</w:t>
            </w:r>
          </w:p>
        </w:tc>
      </w:tr>
      <w:tr w:rsidR="00AF3187" w:rsidRPr="002835A8" w14:paraId="2AE723D7" w14:textId="77777777" w:rsidTr="00FC4471">
        <w:trPr>
          <w:trHeight w:val="81"/>
        </w:trPr>
        <w:tc>
          <w:tcPr>
            <w:tcW w:w="3099" w:type="dxa"/>
            <w:vMerge/>
            <w:shd w:val="clear" w:color="auto" w:fill="F3F3F3"/>
          </w:tcPr>
          <w:p w14:paraId="78581BF3"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67353BF3"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rPr>
              <w:t>decyzja o ustaleniu lokalizacji inwestycji w zakresie budowy obiektu energetyki jądrowej</w:t>
            </w:r>
          </w:p>
        </w:tc>
        <w:tc>
          <w:tcPr>
            <w:tcW w:w="3264" w:type="dxa"/>
          </w:tcPr>
          <w:p w14:paraId="0049D118"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Nie przewiduje się</w:t>
            </w:r>
          </w:p>
        </w:tc>
      </w:tr>
      <w:tr w:rsidR="00AF3187" w:rsidRPr="002835A8" w14:paraId="721CD3BF" w14:textId="77777777" w:rsidTr="00FC4471">
        <w:trPr>
          <w:trHeight w:val="81"/>
        </w:trPr>
        <w:tc>
          <w:tcPr>
            <w:tcW w:w="3099" w:type="dxa"/>
            <w:vMerge/>
            <w:shd w:val="clear" w:color="auto" w:fill="F3F3F3"/>
          </w:tcPr>
          <w:p w14:paraId="0056C9B3"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1C848AA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decyzja o ustaleniu lokalizacji strategicznej inwestycji w zakresie sieci przesyłowej</w:t>
            </w:r>
          </w:p>
        </w:tc>
        <w:tc>
          <w:tcPr>
            <w:tcW w:w="3264" w:type="dxa"/>
          </w:tcPr>
          <w:p w14:paraId="23C906F6"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przewiduje się</w:t>
            </w:r>
          </w:p>
        </w:tc>
      </w:tr>
      <w:tr w:rsidR="00AF3187" w:rsidRPr="002835A8" w14:paraId="092626E3" w14:textId="77777777" w:rsidTr="00FC4471">
        <w:trPr>
          <w:trHeight w:val="81"/>
        </w:trPr>
        <w:tc>
          <w:tcPr>
            <w:tcW w:w="3099" w:type="dxa"/>
            <w:vMerge/>
            <w:shd w:val="clear" w:color="auto" w:fill="F3F3F3"/>
          </w:tcPr>
          <w:p w14:paraId="56F4320F"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7131440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rPr>
              <w:t>decyzja o ustaleniu lokalizacji regionalnej sieci szerokopasmowej</w:t>
            </w:r>
          </w:p>
        </w:tc>
        <w:tc>
          <w:tcPr>
            <w:tcW w:w="3264" w:type="dxa"/>
          </w:tcPr>
          <w:p w14:paraId="0A0BFE44"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Nie przewiduje się</w:t>
            </w:r>
          </w:p>
        </w:tc>
      </w:tr>
      <w:tr w:rsidR="00AF3187" w:rsidRPr="002835A8" w14:paraId="7C903C03" w14:textId="77777777" w:rsidTr="00FC4471">
        <w:trPr>
          <w:trHeight w:val="81"/>
        </w:trPr>
        <w:tc>
          <w:tcPr>
            <w:tcW w:w="3099" w:type="dxa"/>
            <w:vMerge/>
            <w:shd w:val="clear" w:color="auto" w:fill="F3F3F3"/>
          </w:tcPr>
          <w:p w14:paraId="17AE7E13"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1C276DC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decyzja o ustaleniu lokalizacji inwestycji w zakresie Centralnego Portu Komunikacyjnego </w:t>
            </w:r>
          </w:p>
        </w:tc>
        <w:tc>
          <w:tcPr>
            <w:tcW w:w="3264" w:type="dxa"/>
          </w:tcPr>
          <w:p w14:paraId="2FAC3594"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przewiduje się</w:t>
            </w:r>
          </w:p>
        </w:tc>
      </w:tr>
      <w:tr w:rsidR="00AF3187" w:rsidRPr="002835A8" w14:paraId="4B35702E" w14:textId="77777777" w:rsidTr="00FC4471">
        <w:trPr>
          <w:trHeight w:val="81"/>
        </w:trPr>
        <w:tc>
          <w:tcPr>
            <w:tcW w:w="3099" w:type="dxa"/>
            <w:vMerge/>
            <w:shd w:val="clear" w:color="auto" w:fill="F3F3F3"/>
          </w:tcPr>
          <w:p w14:paraId="445B49B5"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7D27801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rPr>
              <w:t>decyzja o zezwoleniu na realizację inwestycji w zakresie infrastruktury dostępowej</w:t>
            </w:r>
          </w:p>
        </w:tc>
        <w:tc>
          <w:tcPr>
            <w:tcW w:w="3264" w:type="dxa"/>
          </w:tcPr>
          <w:p w14:paraId="6F69DC4D"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Nie przewiduje się</w:t>
            </w:r>
          </w:p>
        </w:tc>
      </w:tr>
      <w:tr w:rsidR="00AF3187" w:rsidRPr="002835A8" w14:paraId="0EAEE733" w14:textId="77777777" w:rsidTr="00FC4471">
        <w:trPr>
          <w:trHeight w:val="81"/>
        </w:trPr>
        <w:tc>
          <w:tcPr>
            <w:tcW w:w="3099" w:type="dxa"/>
            <w:vMerge/>
            <w:shd w:val="clear" w:color="auto" w:fill="F3F3F3"/>
          </w:tcPr>
          <w:p w14:paraId="5C1D7870" w14:textId="77777777" w:rsidR="00AF3187" w:rsidRPr="002835A8" w:rsidRDefault="00AF3187" w:rsidP="00FC4471">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71A257D2"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decyzja o ustaleniu lokalizacji strategicznej inwestycji w sektorze naftowym</w:t>
            </w:r>
          </w:p>
        </w:tc>
        <w:tc>
          <w:tcPr>
            <w:tcW w:w="3264" w:type="dxa"/>
          </w:tcPr>
          <w:p w14:paraId="7C100C25"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przewiduje się</w:t>
            </w:r>
          </w:p>
        </w:tc>
      </w:tr>
      <w:tr w:rsidR="00AF3187" w:rsidRPr="002835A8" w14:paraId="75A4A2F3" w14:textId="77777777" w:rsidTr="00FC4471">
        <w:trPr>
          <w:trHeight w:val="390"/>
        </w:trPr>
        <w:tc>
          <w:tcPr>
            <w:tcW w:w="9782" w:type="dxa"/>
            <w:gridSpan w:val="3"/>
            <w:shd w:val="clear" w:color="auto" w:fill="D9D9D9"/>
          </w:tcPr>
          <w:p w14:paraId="66E83776" w14:textId="77777777" w:rsidR="00AF3187" w:rsidRPr="008B07A8" w:rsidRDefault="00AF3187" w:rsidP="00FC4471">
            <w:pPr>
              <w:spacing w:beforeLines="60" w:before="144" w:afterLines="60" w:after="144" w:line="240" w:lineRule="auto"/>
              <w:jc w:val="both"/>
              <w:rPr>
                <w:rFonts w:ascii="Times New Roman" w:eastAsia="Times New Roman" w:hAnsi="Times New Roman" w:cs="Times New Roman"/>
                <w:b/>
                <w:szCs w:val="20"/>
              </w:rPr>
            </w:pPr>
            <w:r>
              <w:rPr>
                <w:rFonts w:ascii="Times New Roman" w:eastAsia="Times New Roman" w:hAnsi="Times New Roman" w:cs="Times New Roman"/>
                <w:b/>
                <w:szCs w:val="20"/>
              </w:rPr>
              <w:t>INFORMACJE DOTYCZĄCE BUDYNKU</w:t>
            </w:r>
          </w:p>
        </w:tc>
      </w:tr>
      <w:tr w:rsidR="00AF3187" w:rsidRPr="002835A8" w14:paraId="6006E33A" w14:textId="77777777" w:rsidTr="00FC4471">
        <w:trPr>
          <w:trHeight w:val="390"/>
        </w:trPr>
        <w:tc>
          <w:tcPr>
            <w:tcW w:w="3099" w:type="dxa"/>
            <w:shd w:val="clear" w:color="auto" w:fill="F3F3F3"/>
          </w:tcPr>
          <w:p w14:paraId="480C327F"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Czy jest pozwolenie na budowę</w:t>
            </w:r>
          </w:p>
        </w:tc>
        <w:tc>
          <w:tcPr>
            <w:tcW w:w="3419" w:type="dxa"/>
            <w:vAlign w:val="center"/>
          </w:tcPr>
          <w:p w14:paraId="16FA1379" w14:textId="77777777" w:rsidR="00AF3187" w:rsidRPr="002835A8" w:rsidRDefault="00AF3187" w:rsidP="00FC4471">
            <w:pPr>
              <w:spacing w:beforeLines="60" w:before="144" w:afterLines="60" w:after="144" w:line="240" w:lineRule="auto"/>
              <w:jc w:val="center"/>
              <w:rPr>
                <w:rFonts w:ascii="Times New Roman" w:eastAsia="Times New Roman" w:hAnsi="Times New Roman" w:cs="Times New Roman"/>
                <w:szCs w:val="20"/>
              </w:rPr>
            </w:pPr>
            <w:r w:rsidRPr="002835A8">
              <w:rPr>
                <w:rFonts w:ascii="Times New Roman" w:eastAsia="Times New Roman" w:hAnsi="Times New Roman" w:cs="Times New Roman"/>
                <w:szCs w:val="20"/>
              </w:rPr>
              <w:t>tak</w:t>
            </w:r>
            <w:r w:rsidRPr="002835A8">
              <w:rPr>
                <w:rFonts w:ascii="Times New Roman" w:eastAsia="Times New Roman" w:hAnsi="Times New Roman" w:cs="Times New Roman"/>
                <w:szCs w:val="20"/>
                <w:vertAlign w:val="superscript"/>
              </w:rPr>
              <w:footnoteReference w:customMarkFollows="1" w:id="7"/>
              <w:t>*</w:t>
            </w:r>
          </w:p>
        </w:tc>
        <w:tc>
          <w:tcPr>
            <w:tcW w:w="3264" w:type="dxa"/>
            <w:vAlign w:val="center"/>
          </w:tcPr>
          <w:p w14:paraId="12C9BA90" w14:textId="77777777" w:rsidR="00AF3187" w:rsidRPr="002835A8" w:rsidRDefault="00AF3187" w:rsidP="00FC4471">
            <w:pPr>
              <w:spacing w:beforeLines="60" w:before="144" w:afterLines="60" w:after="144" w:line="240" w:lineRule="auto"/>
              <w:jc w:val="center"/>
              <w:rPr>
                <w:rFonts w:ascii="Times New Roman" w:eastAsia="Times New Roman" w:hAnsi="Times New Roman" w:cs="Times New Roman"/>
                <w:strike/>
                <w:szCs w:val="20"/>
              </w:rPr>
            </w:pPr>
            <w:r w:rsidRPr="002835A8">
              <w:rPr>
                <w:rFonts w:ascii="Times New Roman" w:eastAsia="Times New Roman" w:hAnsi="Times New Roman" w:cs="Times New Roman"/>
                <w:strike/>
                <w:szCs w:val="20"/>
              </w:rPr>
              <w:t>nie*</w:t>
            </w:r>
          </w:p>
        </w:tc>
      </w:tr>
      <w:tr w:rsidR="00AF3187" w:rsidRPr="002835A8" w14:paraId="18F67A1B" w14:textId="77777777" w:rsidTr="00FC4471">
        <w:trPr>
          <w:trHeight w:val="390"/>
        </w:trPr>
        <w:tc>
          <w:tcPr>
            <w:tcW w:w="3099" w:type="dxa"/>
            <w:shd w:val="clear" w:color="auto" w:fill="F3F3F3"/>
          </w:tcPr>
          <w:p w14:paraId="03481BC3"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Czy pozwolenie na budowę jest ostateczne</w:t>
            </w:r>
          </w:p>
        </w:tc>
        <w:tc>
          <w:tcPr>
            <w:tcW w:w="3419" w:type="dxa"/>
            <w:vAlign w:val="center"/>
          </w:tcPr>
          <w:p w14:paraId="005DCCB4" w14:textId="77777777" w:rsidR="00AF3187" w:rsidRPr="002835A8" w:rsidRDefault="00AF3187" w:rsidP="00FC4471">
            <w:pPr>
              <w:spacing w:beforeLines="60" w:before="144" w:afterLines="60" w:after="144" w:line="240" w:lineRule="auto"/>
              <w:jc w:val="center"/>
              <w:rPr>
                <w:rFonts w:ascii="Times New Roman" w:eastAsia="Times New Roman" w:hAnsi="Times New Roman" w:cs="Times New Roman"/>
                <w:szCs w:val="20"/>
              </w:rPr>
            </w:pPr>
            <w:r w:rsidRPr="002835A8">
              <w:rPr>
                <w:rFonts w:ascii="Times New Roman" w:eastAsia="Times New Roman" w:hAnsi="Times New Roman" w:cs="Times New Roman"/>
                <w:szCs w:val="20"/>
              </w:rPr>
              <w:t>tak*</w:t>
            </w:r>
          </w:p>
        </w:tc>
        <w:tc>
          <w:tcPr>
            <w:tcW w:w="3264" w:type="dxa"/>
            <w:vAlign w:val="center"/>
          </w:tcPr>
          <w:p w14:paraId="2982C619" w14:textId="77777777" w:rsidR="00AF3187" w:rsidRPr="002835A8" w:rsidRDefault="00AF3187" w:rsidP="00FC4471">
            <w:pPr>
              <w:spacing w:beforeLines="60" w:before="144" w:afterLines="60" w:after="144" w:line="240" w:lineRule="auto"/>
              <w:jc w:val="center"/>
              <w:rPr>
                <w:rFonts w:ascii="Times New Roman" w:eastAsia="Times New Roman" w:hAnsi="Times New Roman" w:cs="Times New Roman"/>
                <w:strike/>
                <w:szCs w:val="20"/>
              </w:rPr>
            </w:pPr>
            <w:r w:rsidRPr="002835A8">
              <w:rPr>
                <w:rFonts w:ascii="Times New Roman" w:eastAsia="Times New Roman" w:hAnsi="Times New Roman" w:cs="Times New Roman"/>
                <w:strike/>
                <w:szCs w:val="20"/>
              </w:rPr>
              <w:t>nie*</w:t>
            </w:r>
          </w:p>
        </w:tc>
      </w:tr>
      <w:tr w:rsidR="00AF3187" w:rsidRPr="002835A8" w14:paraId="53A12974" w14:textId="77777777" w:rsidTr="00FC4471">
        <w:trPr>
          <w:trHeight w:val="390"/>
        </w:trPr>
        <w:tc>
          <w:tcPr>
            <w:tcW w:w="3099" w:type="dxa"/>
            <w:shd w:val="clear" w:color="auto" w:fill="F3F3F3"/>
          </w:tcPr>
          <w:p w14:paraId="42B71CE6"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Czy pozwolenie na budowę jest zaskarżone</w:t>
            </w:r>
          </w:p>
        </w:tc>
        <w:tc>
          <w:tcPr>
            <w:tcW w:w="3419" w:type="dxa"/>
            <w:vAlign w:val="center"/>
          </w:tcPr>
          <w:p w14:paraId="05DC7B26" w14:textId="77777777" w:rsidR="00AF3187" w:rsidRPr="002835A8" w:rsidRDefault="00AF3187" w:rsidP="00FC4471">
            <w:pPr>
              <w:spacing w:beforeLines="60" w:before="144" w:afterLines="60" w:after="144" w:line="240" w:lineRule="auto"/>
              <w:jc w:val="center"/>
              <w:rPr>
                <w:rFonts w:ascii="Times New Roman" w:eastAsia="Times New Roman" w:hAnsi="Times New Roman" w:cs="Times New Roman"/>
                <w:strike/>
                <w:szCs w:val="20"/>
              </w:rPr>
            </w:pPr>
            <w:r w:rsidRPr="002835A8">
              <w:rPr>
                <w:rFonts w:ascii="Times New Roman" w:eastAsia="Times New Roman" w:hAnsi="Times New Roman" w:cs="Times New Roman"/>
                <w:strike/>
                <w:szCs w:val="20"/>
              </w:rPr>
              <w:t>tak*</w:t>
            </w:r>
          </w:p>
        </w:tc>
        <w:tc>
          <w:tcPr>
            <w:tcW w:w="3264" w:type="dxa"/>
            <w:vAlign w:val="center"/>
          </w:tcPr>
          <w:p w14:paraId="766D213D" w14:textId="77777777" w:rsidR="00AF3187" w:rsidRPr="002835A8" w:rsidRDefault="00AF3187" w:rsidP="00FC4471">
            <w:pPr>
              <w:spacing w:beforeLines="60" w:before="144" w:afterLines="60" w:after="144" w:line="240" w:lineRule="auto"/>
              <w:jc w:val="center"/>
              <w:rPr>
                <w:rFonts w:ascii="Times New Roman" w:eastAsia="Times New Roman" w:hAnsi="Times New Roman" w:cs="Times New Roman"/>
                <w:szCs w:val="20"/>
              </w:rPr>
            </w:pPr>
            <w:r w:rsidRPr="002835A8">
              <w:rPr>
                <w:rFonts w:ascii="Times New Roman" w:eastAsia="Times New Roman" w:hAnsi="Times New Roman" w:cs="Times New Roman"/>
                <w:szCs w:val="20"/>
              </w:rPr>
              <w:t>nie*</w:t>
            </w:r>
          </w:p>
        </w:tc>
      </w:tr>
      <w:tr w:rsidR="00AF3187" w:rsidRPr="002835A8" w14:paraId="1C9422AE" w14:textId="77777777" w:rsidTr="00FC4471">
        <w:trPr>
          <w:trHeight w:val="195"/>
        </w:trPr>
        <w:tc>
          <w:tcPr>
            <w:tcW w:w="3099" w:type="dxa"/>
            <w:shd w:val="clear" w:color="auto" w:fill="F3F3F3"/>
          </w:tcPr>
          <w:p w14:paraId="68C03090"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Numer pozwolenia na budowę oraz nazwa organu, który je wydał</w:t>
            </w:r>
          </w:p>
        </w:tc>
        <w:tc>
          <w:tcPr>
            <w:tcW w:w="6683" w:type="dxa"/>
            <w:gridSpan w:val="2"/>
          </w:tcPr>
          <w:p w14:paraId="3013F3F5" w14:textId="77777777" w:rsidR="00AF3187" w:rsidRDefault="00AF3187" w:rsidP="00FC4471">
            <w:pPr>
              <w:pStyle w:val="TableParagraph"/>
              <w:jc w:val="both"/>
              <w:rPr>
                <w:rFonts w:ascii="Arial" w:hAnsi="Arial" w:cs="Arial"/>
                <w:sz w:val="18"/>
                <w:szCs w:val="18"/>
                <w:lang w:eastAsia="pl-PL"/>
              </w:rPr>
            </w:pPr>
          </w:p>
          <w:p w14:paraId="0882CA36" w14:textId="77777777" w:rsidR="00AF3187" w:rsidRPr="002835A8" w:rsidRDefault="00AF3187" w:rsidP="00FC4471">
            <w:pPr>
              <w:pStyle w:val="TableParagraph"/>
              <w:jc w:val="both"/>
              <w:rPr>
                <w:szCs w:val="20"/>
              </w:rPr>
            </w:pPr>
            <w:r>
              <w:rPr>
                <w:rFonts w:ascii="Arial" w:hAnsi="Arial" w:cs="Arial"/>
                <w:sz w:val="18"/>
                <w:szCs w:val="18"/>
                <w:lang w:eastAsia="pl-PL"/>
              </w:rPr>
              <w:t>Pozwolenie nr 1011/2022 wydane przez Starostę Bydgoskiego, decyzją z dnia 04.07.2022r, przeniesione na dewelopera decyzją z dnia 21.10.2022 nr 1442/2022</w:t>
            </w:r>
          </w:p>
        </w:tc>
      </w:tr>
      <w:tr w:rsidR="00AF3187" w:rsidRPr="002835A8" w14:paraId="28A55109" w14:textId="77777777" w:rsidTr="00FC4471">
        <w:trPr>
          <w:trHeight w:val="195"/>
        </w:trPr>
        <w:tc>
          <w:tcPr>
            <w:tcW w:w="3099" w:type="dxa"/>
            <w:shd w:val="clear" w:color="auto" w:fill="F3F3F3"/>
          </w:tcPr>
          <w:p w14:paraId="7A03355D"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lastRenderedPageBreak/>
              <w:t>Data uprawomocnienia się decyzji o pozwoleniu na użytkowanie budynku</w:t>
            </w:r>
          </w:p>
        </w:tc>
        <w:tc>
          <w:tcPr>
            <w:tcW w:w="6683" w:type="dxa"/>
            <w:gridSpan w:val="2"/>
          </w:tcPr>
          <w:p w14:paraId="68232DEA" w14:textId="77777777" w:rsidR="00AF3187" w:rsidRPr="00D05379" w:rsidRDefault="00AF3187" w:rsidP="00FC4471">
            <w:pPr>
              <w:spacing w:beforeLines="60" w:before="144" w:afterLines="60" w:after="144" w:line="240" w:lineRule="auto"/>
              <w:jc w:val="both"/>
              <w:rPr>
                <w:rFonts w:ascii="Arial" w:eastAsia="Times New Roman" w:hAnsi="Arial" w:cs="Arial"/>
                <w:sz w:val="18"/>
                <w:szCs w:val="18"/>
              </w:rPr>
            </w:pPr>
            <w:r w:rsidRPr="00D05379">
              <w:rPr>
                <w:rFonts w:ascii="Arial" w:eastAsia="Times New Roman" w:hAnsi="Arial" w:cs="Arial"/>
                <w:sz w:val="18"/>
                <w:szCs w:val="18"/>
              </w:rPr>
              <w:t>Budynek w budowie</w:t>
            </w:r>
          </w:p>
        </w:tc>
      </w:tr>
      <w:tr w:rsidR="00AF3187" w:rsidRPr="002835A8" w14:paraId="1ABB3A87" w14:textId="77777777" w:rsidTr="00FC4471">
        <w:trPr>
          <w:trHeight w:val="195"/>
        </w:trPr>
        <w:tc>
          <w:tcPr>
            <w:tcW w:w="3099" w:type="dxa"/>
            <w:shd w:val="clear" w:color="auto" w:fill="F3F3F3"/>
          </w:tcPr>
          <w:p w14:paraId="692296B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Data zakończenia budowy domu jednorodzinnego </w:t>
            </w:r>
          </w:p>
        </w:tc>
        <w:tc>
          <w:tcPr>
            <w:tcW w:w="6683" w:type="dxa"/>
            <w:gridSpan w:val="2"/>
          </w:tcPr>
          <w:p w14:paraId="6EFDD402" w14:textId="77777777" w:rsidR="00AF3187" w:rsidRPr="002835A8" w:rsidRDefault="00AF3187" w:rsidP="00FC4471">
            <w:pPr>
              <w:tabs>
                <w:tab w:val="left" w:pos="2316"/>
              </w:tabs>
              <w:spacing w:beforeLines="60" w:before="144" w:afterLines="60" w:after="144" w:line="240" w:lineRule="auto"/>
              <w:rPr>
                <w:rFonts w:ascii="Times New Roman" w:eastAsia="Times New Roman" w:hAnsi="Times New Roman" w:cs="Times New Roman"/>
                <w:szCs w:val="20"/>
              </w:rPr>
            </w:pPr>
            <w:r w:rsidRPr="00D05379">
              <w:rPr>
                <w:rFonts w:ascii="Arial" w:eastAsia="Times New Roman" w:hAnsi="Arial" w:cs="Arial"/>
                <w:sz w:val="18"/>
                <w:szCs w:val="18"/>
              </w:rPr>
              <w:t>Budynek w budowi</w:t>
            </w:r>
            <w:r>
              <w:rPr>
                <w:rFonts w:ascii="Arial" w:eastAsia="Times New Roman" w:hAnsi="Arial" w:cs="Arial"/>
                <w:sz w:val="18"/>
                <w:szCs w:val="18"/>
              </w:rPr>
              <w:t>e</w:t>
            </w:r>
          </w:p>
        </w:tc>
      </w:tr>
      <w:tr w:rsidR="00AF3187" w:rsidRPr="002835A8" w14:paraId="77B597AB" w14:textId="77777777" w:rsidTr="00FC4471">
        <w:trPr>
          <w:trHeight w:val="195"/>
        </w:trPr>
        <w:tc>
          <w:tcPr>
            <w:tcW w:w="3099" w:type="dxa"/>
            <w:shd w:val="clear" w:color="auto" w:fill="F3F3F3"/>
          </w:tcPr>
          <w:p w14:paraId="1BC112C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Planowany termin rozpoczęcia i zakończenia robót budowlanych</w:t>
            </w:r>
          </w:p>
        </w:tc>
        <w:tc>
          <w:tcPr>
            <w:tcW w:w="6683" w:type="dxa"/>
            <w:gridSpan w:val="2"/>
          </w:tcPr>
          <w:p w14:paraId="58FB206E" w14:textId="77777777" w:rsidR="00AF3187" w:rsidRPr="00D05379" w:rsidRDefault="00AF3187" w:rsidP="00FC4471">
            <w:pPr>
              <w:spacing w:beforeLines="60" w:before="144" w:afterLines="60" w:after="144" w:line="240" w:lineRule="auto"/>
              <w:jc w:val="both"/>
              <w:rPr>
                <w:rFonts w:ascii="Arial" w:eastAsia="Times New Roman" w:hAnsi="Arial" w:cs="Arial"/>
                <w:sz w:val="18"/>
                <w:szCs w:val="18"/>
              </w:rPr>
            </w:pPr>
            <w:r w:rsidRPr="00D05379">
              <w:rPr>
                <w:rFonts w:ascii="Arial" w:eastAsia="Times New Roman" w:hAnsi="Arial" w:cs="Arial"/>
                <w:sz w:val="18"/>
                <w:szCs w:val="18"/>
              </w:rPr>
              <w:t>Zadanie 1 – rozpoczęcie 05.12.2022 roku</w:t>
            </w:r>
          </w:p>
          <w:p w14:paraId="3518139F"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D05379">
              <w:rPr>
                <w:rFonts w:ascii="Arial" w:eastAsia="Times New Roman" w:hAnsi="Arial" w:cs="Arial"/>
                <w:sz w:val="18"/>
                <w:szCs w:val="18"/>
              </w:rPr>
              <w:t>Zakończenie 3</w:t>
            </w:r>
            <w:r>
              <w:rPr>
                <w:rFonts w:ascii="Arial" w:eastAsia="Times New Roman" w:hAnsi="Arial" w:cs="Arial"/>
                <w:sz w:val="18"/>
                <w:szCs w:val="18"/>
              </w:rPr>
              <w:t>0</w:t>
            </w:r>
            <w:r w:rsidRPr="00D05379">
              <w:rPr>
                <w:rFonts w:ascii="Arial" w:eastAsia="Times New Roman" w:hAnsi="Arial" w:cs="Arial"/>
                <w:sz w:val="18"/>
                <w:szCs w:val="18"/>
              </w:rPr>
              <w:t>.</w:t>
            </w:r>
            <w:r>
              <w:rPr>
                <w:rFonts w:ascii="Arial" w:eastAsia="Times New Roman" w:hAnsi="Arial" w:cs="Arial"/>
                <w:sz w:val="18"/>
                <w:szCs w:val="18"/>
              </w:rPr>
              <w:t>09</w:t>
            </w:r>
            <w:r w:rsidRPr="00D05379">
              <w:rPr>
                <w:rFonts w:ascii="Arial" w:eastAsia="Times New Roman" w:hAnsi="Arial" w:cs="Arial"/>
                <w:sz w:val="18"/>
                <w:szCs w:val="18"/>
              </w:rPr>
              <w:t>.2025 roku</w:t>
            </w:r>
          </w:p>
        </w:tc>
      </w:tr>
      <w:tr w:rsidR="00AF3187" w:rsidRPr="002835A8" w14:paraId="00327934" w14:textId="77777777" w:rsidTr="00FC4471">
        <w:trPr>
          <w:trHeight w:val="325"/>
        </w:trPr>
        <w:tc>
          <w:tcPr>
            <w:tcW w:w="3099" w:type="dxa"/>
            <w:vMerge w:val="restart"/>
            <w:shd w:val="clear" w:color="auto" w:fill="F3F3F3"/>
          </w:tcPr>
          <w:p w14:paraId="0C88845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p w14:paraId="6C48E161"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Opis przedsięwzięcia deweloperskiego albo zadania inwestycyjnego</w:t>
            </w:r>
          </w:p>
          <w:p w14:paraId="42FB2ACB"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8A57E98"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Liczba budynków </w:t>
            </w:r>
          </w:p>
        </w:tc>
        <w:tc>
          <w:tcPr>
            <w:tcW w:w="3264" w:type="dxa"/>
          </w:tcPr>
          <w:p w14:paraId="3FF666AF" w14:textId="77777777" w:rsidR="00AF3187" w:rsidRDefault="00AF3187" w:rsidP="00FC4471">
            <w:pPr>
              <w:pStyle w:val="TableParagraph"/>
              <w:jc w:val="both"/>
              <w:rPr>
                <w:rFonts w:ascii="Arial" w:hAnsi="Arial" w:cs="Arial"/>
                <w:sz w:val="18"/>
                <w:szCs w:val="18"/>
              </w:rPr>
            </w:pPr>
          </w:p>
          <w:p w14:paraId="6ACE1CC4" w14:textId="77777777" w:rsidR="00AF3187" w:rsidRPr="00D05379" w:rsidRDefault="00AF3187" w:rsidP="00FC4471">
            <w:pPr>
              <w:pStyle w:val="TableParagraph"/>
              <w:jc w:val="both"/>
              <w:rPr>
                <w:rFonts w:ascii="Arial" w:hAnsi="Arial" w:cs="Arial"/>
                <w:sz w:val="18"/>
                <w:szCs w:val="18"/>
              </w:rPr>
            </w:pPr>
            <w:r w:rsidRPr="00D05379">
              <w:rPr>
                <w:rFonts w:ascii="Arial" w:hAnsi="Arial" w:cs="Arial"/>
                <w:sz w:val="18"/>
                <w:szCs w:val="18"/>
              </w:rPr>
              <w:t>Pierwsz</w:t>
            </w:r>
            <w:r>
              <w:rPr>
                <w:rFonts w:ascii="Arial" w:hAnsi="Arial" w:cs="Arial"/>
                <w:sz w:val="18"/>
                <w:szCs w:val="18"/>
              </w:rPr>
              <w:t>e</w:t>
            </w:r>
            <w:r w:rsidRPr="00D05379">
              <w:rPr>
                <w:rFonts w:ascii="Arial" w:hAnsi="Arial" w:cs="Arial"/>
                <w:sz w:val="18"/>
                <w:szCs w:val="18"/>
              </w:rPr>
              <w:t xml:space="preserve"> </w:t>
            </w:r>
            <w:r>
              <w:rPr>
                <w:rFonts w:ascii="Arial" w:hAnsi="Arial" w:cs="Arial"/>
                <w:sz w:val="18"/>
                <w:szCs w:val="18"/>
              </w:rPr>
              <w:t>zadanie</w:t>
            </w:r>
            <w:r w:rsidRPr="00D05379">
              <w:rPr>
                <w:rFonts w:ascii="Arial" w:hAnsi="Arial" w:cs="Arial"/>
                <w:sz w:val="18"/>
                <w:szCs w:val="18"/>
              </w:rPr>
              <w:t xml:space="preserve"> </w:t>
            </w:r>
            <w:r w:rsidRPr="00927EA2">
              <w:rPr>
                <w:rFonts w:ascii="Arial" w:hAnsi="Arial" w:cs="Arial"/>
                <w:sz w:val="18"/>
                <w:szCs w:val="18"/>
              </w:rPr>
              <w:t>5 lokali</w:t>
            </w:r>
            <w:r>
              <w:rPr>
                <w:rFonts w:ascii="Arial" w:hAnsi="Arial" w:cs="Arial"/>
                <w:sz w:val="18"/>
                <w:szCs w:val="18"/>
              </w:rPr>
              <w:t xml:space="preserve"> mieszkalnych</w:t>
            </w:r>
          </w:p>
        </w:tc>
      </w:tr>
      <w:tr w:rsidR="00AF3187" w:rsidRPr="002835A8" w14:paraId="382A6F1C" w14:textId="77777777" w:rsidTr="00FC4471">
        <w:trPr>
          <w:trHeight w:val="325"/>
        </w:trPr>
        <w:tc>
          <w:tcPr>
            <w:tcW w:w="3099" w:type="dxa"/>
            <w:vMerge/>
            <w:shd w:val="clear" w:color="auto" w:fill="F3F3F3"/>
          </w:tcPr>
          <w:p w14:paraId="2B6065E2"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2C31461A"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Rozmieszczenie budynków na nieruchomości (należy podać minimalny odstęp między budynkami)</w:t>
            </w:r>
          </w:p>
        </w:tc>
        <w:tc>
          <w:tcPr>
            <w:tcW w:w="3264" w:type="dxa"/>
          </w:tcPr>
          <w:p w14:paraId="795B21BE"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1B2EF6">
              <w:rPr>
                <w:rFonts w:ascii="Arial" w:eastAsia="Times New Roman" w:hAnsi="Arial" w:cs="Arial"/>
                <w:sz w:val="18"/>
                <w:szCs w:val="18"/>
                <w:lang w:eastAsia="pl-PL"/>
              </w:rPr>
              <w:t> </w:t>
            </w:r>
            <w:r>
              <w:rPr>
                <w:rFonts w:ascii="Arial" w:eastAsia="Times New Roman" w:hAnsi="Arial" w:cs="Arial"/>
                <w:sz w:val="18"/>
                <w:szCs w:val="18"/>
                <w:lang w:eastAsia="pl-PL"/>
              </w:rPr>
              <w:t>Nie dotyczy</w:t>
            </w:r>
          </w:p>
        </w:tc>
      </w:tr>
      <w:tr w:rsidR="00AF3187" w:rsidRPr="002835A8" w14:paraId="0BDB1779" w14:textId="77777777" w:rsidTr="00FC4471">
        <w:trPr>
          <w:trHeight w:val="488"/>
        </w:trPr>
        <w:tc>
          <w:tcPr>
            <w:tcW w:w="3099" w:type="dxa"/>
            <w:shd w:val="clear" w:color="auto" w:fill="F3F3F3"/>
          </w:tcPr>
          <w:p w14:paraId="4EF54D0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Sposób pomiaru powierzchni użytkowej lokalu mieszkalnego albo domu jednorodzinnego</w:t>
            </w:r>
          </w:p>
        </w:tc>
        <w:tc>
          <w:tcPr>
            <w:tcW w:w="6683" w:type="dxa"/>
            <w:gridSpan w:val="2"/>
          </w:tcPr>
          <w:p w14:paraId="3398E6CD"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1B2EF6">
              <w:rPr>
                <w:rFonts w:ascii="Arial" w:eastAsia="Times New Roman" w:hAnsi="Arial" w:cs="Arial"/>
                <w:sz w:val="18"/>
                <w:szCs w:val="18"/>
                <w:lang w:eastAsia="pl-PL"/>
              </w:rPr>
              <w:t> </w:t>
            </w:r>
            <w:r>
              <w:rPr>
                <w:rFonts w:ascii="Arial" w:eastAsia="Times New Roman" w:hAnsi="Arial" w:cs="Arial"/>
                <w:sz w:val="18"/>
                <w:szCs w:val="18"/>
                <w:lang w:eastAsia="pl-PL"/>
              </w:rPr>
              <w:t>Wg normy PN-ISO 9836:2015-12</w:t>
            </w:r>
          </w:p>
        </w:tc>
      </w:tr>
      <w:tr w:rsidR="00AF3187" w:rsidRPr="002835A8" w14:paraId="18773200" w14:textId="77777777" w:rsidTr="00FC4471">
        <w:tc>
          <w:tcPr>
            <w:tcW w:w="3099" w:type="dxa"/>
            <w:vMerge w:val="restart"/>
            <w:shd w:val="clear" w:color="auto" w:fill="F3F3F3"/>
          </w:tcPr>
          <w:p w14:paraId="6F203DFE"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Zamierzony sposób i procentowy udział źródeł finansowania przedsięwzięcia deweloperskiego lub zadania inwestycyjnego</w:t>
            </w:r>
          </w:p>
          <w:p w14:paraId="42F72C97"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1F766550" w14:textId="77777777" w:rsidR="00AF3187" w:rsidRPr="002835A8" w:rsidDel="00E703EC"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Rodzaj posiadanych środków finansowych – kredyt, środki własne, inne</w:t>
            </w:r>
          </w:p>
        </w:tc>
        <w:tc>
          <w:tcPr>
            <w:tcW w:w="3264" w:type="dxa"/>
          </w:tcPr>
          <w:p w14:paraId="1C197A58"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Środki własne 30%, kredyt 70%</w:t>
            </w:r>
          </w:p>
        </w:tc>
      </w:tr>
      <w:tr w:rsidR="00AF3187" w:rsidRPr="002835A8" w14:paraId="76811BCB" w14:textId="77777777" w:rsidTr="00FC4471">
        <w:tc>
          <w:tcPr>
            <w:tcW w:w="3099" w:type="dxa"/>
            <w:vMerge/>
            <w:shd w:val="clear" w:color="auto" w:fill="F3F3F3"/>
          </w:tcPr>
          <w:p w14:paraId="2FC5EE0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749A66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W następujących instytucjach finansowych (wypełnia się w przypadku kredytu)</w:t>
            </w:r>
          </w:p>
        </w:tc>
        <w:tc>
          <w:tcPr>
            <w:tcW w:w="3264" w:type="dxa"/>
          </w:tcPr>
          <w:p w14:paraId="3F81ED80"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Bank Spółdzielczy w Koronowie</w:t>
            </w:r>
          </w:p>
        </w:tc>
      </w:tr>
      <w:tr w:rsidR="00AF3187" w:rsidRPr="002835A8" w14:paraId="680C466B" w14:textId="77777777" w:rsidTr="00FC4471">
        <w:trPr>
          <w:trHeight w:val="1481"/>
        </w:trPr>
        <w:tc>
          <w:tcPr>
            <w:tcW w:w="3099" w:type="dxa"/>
            <w:vMerge w:val="restart"/>
            <w:shd w:val="clear" w:color="auto" w:fill="F3F3F3"/>
          </w:tcPr>
          <w:p w14:paraId="521421D9"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Środki ochrony nabywców</w:t>
            </w:r>
          </w:p>
        </w:tc>
        <w:tc>
          <w:tcPr>
            <w:tcW w:w="3419" w:type="dxa"/>
          </w:tcPr>
          <w:p w14:paraId="69635945" w14:textId="77777777" w:rsidR="00AF3187" w:rsidRPr="00F52D56" w:rsidRDefault="00AF3187" w:rsidP="00FC4471">
            <w:pPr>
              <w:spacing w:beforeLines="60" w:before="144" w:afterLines="60" w:after="144" w:line="240" w:lineRule="auto"/>
              <w:jc w:val="both"/>
              <w:rPr>
                <w:rFonts w:ascii="Times New Roman" w:eastAsia="Times New Roman" w:hAnsi="Times New Roman" w:cs="Times New Roman"/>
                <w:szCs w:val="20"/>
              </w:rPr>
            </w:pPr>
            <w:r w:rsidRPr="00F52D56">
              <w:rPr>
                <w:rFonts w:ascii="Times New Roman" w:eastAsia="Times New Roman" w:hAnsi="Times New Roman" w:cs="Times New Roman"/>
                <w:szCs w:val="20"/>
              </w:rPr>
              <w:t>Otwarty mieszkaniowy rachunek powierniczy*</w:t>
            </w:r>
          </w:p>
        </w:tc>
        <w:tc>
          <w:tcPr>
            <w:tcW w:w="3264" w:type="dxa"/>
          </w:tcPr>
          <w:p w14:paraId="2364AB4C" w14:textId="77777777" w:rsidR="00AF3187" w:rsidRPr="00F52D56" w:rsidRDefault="00AF3187" w:rsidP="00FC4471">
            <w:pPr>
              <w:spacing w:beforeLines="60" w:before="144" w:afterLines="60" w:after="144" w:line="240" w:lineRule="auto"/>
              <w:jc w:val="both"/>
              <w:rPr>
                <w:rFonts w:ascii="Times New Roman" w:eastAsia="Times New Roman" w:hAnsi="Times New Roman" w:cs="Times New Roman"/>
                <w:strike/>
                <w:szCs w:val="20"/>
              </w:rPr>
            </w:pPr>
            <w:r w:rsidRPr="00F52D56">
              <w:rPr>
                <w:rFonts w:ascii="Times New Roman" w:eastAsia="Times New Roman" w:hAnsi="Times New Roman" w:cs="Times New Roman"/>
                <w:strike/>
                <w:szCs w:val="20"/>
              </w:rPr>
              <w:t>Zamknięty mieszkaniowy rachunek powierniczy*</w:t>
            </w:r>
          </w:p>
        </w:tc>
      </w:tr>
      <w:tr w:rsidR="00AF3187" w:rsidRPr="002835A8" w14:paraId="7EC6B719" w14:textId="77777777" w:rsidTr="00FC4471">
        <w:tc>
          <w:tcPr>
            <w:tcW w:w="3099" w:type="dxa"/>
            <w:vMerge/>
            <w:shd w:val="clear" w:color="auto" w:fill="F3F3F3"/>
          </w:tcPr>
          <w:p w14:paraId="39F65F7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BB96E50"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Wysokość stawki procentowej, według której jest obliczana kwota składki na Deweloperski Fundusz Gwarancyjny</w:t>
            </w:r>
            <w:r w:rsidRPr="002835A8">
              <w:rPr>
                <w:rStyle w:val="Odwoanieprzypisudolnego"/>
                <w:rFonts w:ascii="Times New Roman" w:eastAsia="Times New Roman" w:hAnsi="Times New Roman"/>
                <w:szCs w:val="20"/>
              </w:rPr>
              <w:footnoteReference w:customMarkFollows="1" w:id="8"/>
              <w:t>7)</w:t>
            </w:r>
            <w:r w:rsidRPr="002835A8">
              <w:rPr>
                <w:rFonts w:ascii="Times New Roman" w:eastAsia="Times New Roman" w:hAnsi="Times New Roman" w:cs="Times New Roman"/>
                <w:szCs w:val="20"/>
              </w:rPr>
              <w:t xml:space="preserve"> </w:t>
            </w:r>
          </w:p>
        </w:tc>
        <w:tc>
          <w:tcPr>
            <w:tcW w:w="3264" w:type="dxa"/>
          </w:tcPr>
          <w:p w14:paraId="53C9C63B" w14:textId="77777777" w:rsidR="00AF3187" w:rsidRPr="002835A8" w:rsidRDefault="00AF3187" w:rsidP="00FC4471">
            <w:pPr>
              <w:spacing w:beforeLines="60" w:before="144" w:afterLines="60" w:after="144" w:line="240" w:lineRule="auto"/>
              <w:jc w:val="center"/>
              <w:rPr>
                <w:rFonts w:ascii="Times New Roman" w:eastAsia="Times New Roman" w:hAnsi="Times New Roman" w:cs="Times New Roman"/>
                <w:szCs w:val="20"/>
              </w:rPr>
            </w:pPr>
            <w:r w:rsidRPr="002835A8">
              <w:rPr>
                <w:rFonts w:ascii="Times New Roman" w:hAnsi="Times New Roman" w:cs="Times New Roman"/>
                <w:szCs w:val="20"/>
              </w:rPr>
              <w:t>0,45%</w:t>
            </w:r>
          </w:p>
        </w:tc>
      </w:tr>
      <w:tr w:rsidR="00AF3187" w:rsidRPr="002835A8" w14:paraId="621D082F" w14:textId="77777777" w:rsidTr="00FC4471">
        <w:tc>
          <w:tcPr>
            <w:tcW w:w="3099" w:type="dxa"/>
            <w:shd w:val="clear" w:color="auto" w:fill="F3F3F3"/>
          </w:tcPr>
          <w:p w14:paraId="286B28FA"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Główne zasady funkcjonowania wybranego rodzaju zabezpieczenia środków nabywcy</w:t>
            </w:r>
          </w:p>
        </w:tc>
        <w:tc>
          <w:tcPr>
            <w:tcW w:w="6683" w:type="dxa"/>
            <w:gridSpan w:val="2"/>
          </w:tcPr>
          <w:p w14:paraId="320FD211" w14:textId="77777777" w:rsidR="00AF3187" w:rsidRDefault="00AF3187" w:rsidP="00FC4471">
            <w:pPr>
              <w:pStyle w:val="TableParagraph"/>
              <w:jc w:val="both"/>
              <w:rPr>
                <w:color w:val="000000" w:themeColor="text1"/>
                <w:szCs w:val="20"/>
                <w:highlight w:val="lightGray"/>
              </w:rPr>
            </w:pPr>
          </w:p>
          <w:p w14:paraId="23FAA873" w14:textId="77777777" w:rsidR="00AF3187" w:rsidRPr="002835A8" w:rsidRDefault="00AF3187" w:rsidP="00FC4471">
            <w:pPr>
              <w:pStyle w:val="TableParagraph"/>
              <w:jc w:val="both"/>
              <w:rPr>
                <w:color w:val="000000" w:themeColor="text1"/>
                <w:szCs w:val="20"/>
                <w:highlight w:val="lightGray"/>
              </w:rPr>
            </w:pPr>
            <w:r>
              <w:rPr>
                <w:color w:val="000000" w:themeColor="text1"/>
                <w:szCs w:val="20"/>
                <w:highlight w:val="lightGray"/>
              </w:rPr>
              <w:t>Z umowy rachunku powierniczego</w:t>
            </w:r>
          </w:p>
        </w:tc>
      </w:tr>
      <w:tr w:rsidR="00AF3187" w:rsidRPr="002835A8" w14:paraId="5C137328" w14:textId="77777777" w:rsidTr="00FC4471">
        <w:trPr>
          <w:trHeight w:val="1120"/>
        </w:trPr>
        <w:tc>
          <w:tcPr>
            <w:tcW w:w="3099" w:type="dxa"/>
            <w:shd w:val="clear" w:color="auto" w:fill="F3F3F3"/>
          </w:tcPr>
          <w:p w14:paraId="0ECFED10"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lastRenderedPageBreak/>
              <w:t>Nazwa instytucji zapewniającej bezpieczeństwo środków nabywcy</w:t>
            </w:r>
          </w:p>
        </w:tc>
        <w:tc>
          <w:tcPr>
            <w:tcW w:w="6683" w:type="dxa"/>
            <w:gridSpan w:val="2"/>
          </w:tcPr>
          <w:p w14:paraId="59C62733" w14:textId="77777777" w:rsidR="00AF3187" w:rsidRDefault="00AF3187" w:rsidP="00FC4471">
            <w:pPr>
              <w:rPr>
                <w:rFonts w:ascii="Arial" w:eastAsia="Times New Roman" w:hAnsi="Arial" w:cs="Arial"/>
                <w:sz w:val="18"/>
                <w:szCs w:val="18"/>
                <w:lang w:eastAsia="pl-PL"/>
              </w:rPr>
            </w:pPr>
            <w:r w:rsidRPr="001B2EF6">
              <w:rPr>
                <w:rFonts w:ascii="Arial" w:eastAsia="Times New Roman" w:hAnsi="Arial" w:cs="Arial"/>
                <w:sz w:val="18"/>
                <w:szCs w:val="18"/>
                <w:lang w:eastAsia="pl-PL"/>
              </w:rPr>
              <w:t> </w:t>
            </w:r>
          </w:p>
          <w:p w14:paraId="21DAA5B2" w14:textId="77777777" w:rsidR="00AF3187" w:rsidRPr="00724CFA" w:rsidRDefault="00AF3187" w:rsidP="00FC4471">
            <w:pPr>
              <w:rPr>
                <w:rFonts w:ascii="Times New Roman" w:eastAsia="Times New Roman" w:hAnsi="Times New Roman" w:cs="Times New Roman"/>
                <w:szCs w:val="20"/>
              </w:rPr>
            </w:pPr>
            <w:r>
              <w:rPr>
                <w:rFonts w:ascii="Arial" w:eastAsia="Times New Roman" w:hAnsi="Arial" w:cs="Arial"/>
                <w:sz w:val="18"/>
                <w:szCs w:val="18"/>
                <w:lang w:eastAsia="pl-PL"/>
              </w:rPr>
              <w:t xml:space="preserve">Bank Spółdzielczy </w:t>
            </w:r>
            <w:r w:rsidRPr="00980EC6">
              <w:rPr>
                <w:rFonts w:ascii="Arial" w:eastAsia="Times New Roman" w:hAnsi="Arial" w:cs="Arial"/>
                <w:sz w:val="18"/>
                <w:szCs w:val="18"/>
                <w:lang w:eastAsia="pl-PL"/>
              </w:rPr>
              <w:t>w Brodnicy</w:t>
            </w:r>
          </w:p>
        </w:tc>
      </w:tr>
      <w:tr w:rsidR="00AF3187" w:rsidRPr="002835A8" w14:paraId="23F42D70" w14:textId="77777777" w:rsidTr="00FC4471">
        <w:trPr>
          <w:trHeight w:val="488"/>
        </w:trPr>
        <w:tc>
          <w:tcPr>
            <w:tcW w:w="3099" w:type="dxa"/>
            <w:shd w:val="clear" w:color="auto" w:fill="F3F3F3"/>
          </w:tcPr>
          <w:p w14:paraId="7135A909"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Harmonogram przedsięwzięcia deweloperskiego lub zadania inwestycyjnego</w:t>
            </w:r>
          </w:p>
        </w:tc>
        <w:tc>
          <w:tcPr>
            <w:tcW w:w="6683" w:type="dxa"/>
            <w:gridSpan w:val="2"/>
          </w:tcPr>
          <w:p w14:paraId="32A2A080" w14:textId="77777777" w:rsidR="00AF3187" w:rsidRPr="002835A8" w:rsidRDefault="00AF3187" w:rsidP="00FC4471">
            <w:pPr>
              <w:tabs>
                <w:tab w:val="left" w:pos="1008"/>
              </w:tabs>
              <w:spacing w:beforeLines="60" w:before="144" w:afterLines="60" w:after="144" w:line="240" w:lineRule="auto"/>
              <w:jc w:val="both"/>
              <w:rPr>
                <w:rFonts w:ascii="Times New Roman" w:eastAsia="Times New Roman" w:hAnsi="Times New Roman" w:cs="Times New Roman"/>
                <w:szCs w:val="20"/>
              </w:rPr>
            </w:pPr>
            <w:r w:rsidRPr="001B2EF6">
              <w:rPr>
                <w:rFonts w:ascii="Arial" w:eastAsia="Times New Roman" w:hAnsi="Arial" w:cs="Arial"/>
                <w:sz w:val="18"/>
                <w:szCs w:val="18"/>
                <w:lang w:eastAsia="pl-PL"/>
              </w:rPr>
              <w:t> </w:t>
            </w:r>
            <w:r w:rsidRPr="00C36920">
              <w:rPr>
                <w:rFonts w:ascii="Arial" w:eastAsia="Times New Roman" w:hAnsi="Arial" w:cs="Arial"/>
                <w:sz w:val="18"/>
                <w:szCs w:val="18"/>
                <w:lang w:eastAsia="pl-PL"/>
              </w:rPr>
              <w:t>Zał. nr 4</w:t>
            </w:r>
          </w:p>
        </w:tc>
      </w:tr>
      <w:tr w:rsidR="00AF3187" w:rsidRPr="002835A8" w14:paraId="7D704B16" w14:textId="77777777" w:rsidTr="00FC4471">
        <w:trPr>
          <w:trHeight w:val="292"/>
        </w:trPr>
        <w:tc>
          <w:tcPr>
            <w:tcW w:w="3099" w:type="dxa"/>
            <w:shd w:val="clear" w:color="auto" w:fill="F3F3F3"/>
          </w:tcPr>
          <w:p w14:paraId="697FDA7B" w14:textId="77777777" w:rsidR="00AF3187" w:rsidRPr="002835A8" w:rsidRDefault="00AF3187" w:rsidP="00FC4471">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Dopuszczenie waloryzacji ceny oraz określenie zasad waloryzacji</w:t>
            </w:r>
          </w:p>
        </w:tc>
        <w:tc>
          <w:tcPr>
            <w:tcW w:w="6683" w:type="dxa"/>
            <w:gridSpan w:val="2"/>
          </w:tcPr>
          <w:p w14:paraId="68ED94BF" w14:textId="77777777" w:rsidR="00AF3187" w:rsidRPr="00D05379" w:rsidRDefault="00AF3187" w:rsidP="00FC4471">
            <w:pPr>
              <w:spacing w:beforeLines="60" w:before="144" w:afterLines="60" w:after="144" w:line="240" w:lineRule="auto"/>
              <w:jc w:val="both"/>
              <w:rPr>
                <w:rFonts w:ascii="Arial" w:hAnsi="Arial" w:cs="Arial"/>
                <w:sz w:val="18"/>
                <w:szCs w:val="18"/>
              </w:rPr>
            </w:pPr>
            <w:r w:rsidRPr="00D05379">
              <w:rPr>
                <w:rFonts w:ascii="Arial" w:hAnsi="Arial" w:cs="Arial"/>
                <w:sz w:val="18"/>
                <w:szCs w:val="18"/>
              </w:rPr>
              <w:t>Brak</w:t>
            </w:r>
          </w:p>
        </w:tc>
      </w:tr>
      <w:tr w:rsidR="00AF3187" w:rsidRPr="002835A8" w14:paraId="3150F743" w14:textId="77777777" w:rsidTr="00FC4471">
        <w:tc>
          <w:tcPr>
            <w:tcW w:w="9782" w:type="dxa"/>
            <w:gridSpan w:val="3"/>
            <w:tcBorders>
              <w:bottom w:val="single" w:sz="4" w:space="0" w:color="auto"/>
            </w:tcBorders>
            <w:shd w:val="clear" w:color="auto" w:fill="E0E0E0"/>
          </w:tcPr>
          <w:p w14:paraId="57FD73D1" w14:textId="77777777" w:rsidR="00AF3187" w:rsidRPr="002835A8" w:rsidRDefault="00AF3187" w:rsidP="00FC4471">
            <w:pPr>
              <w:spacing w:beforeLines="60" w:before="144" w:afterLines="60" w:after="144" w:line="240" w:lineRule="auto"/>
              <w:jc w:val="both"/>
              <w:rPr>
                <w:rFonts w:ascii="Times New Roman" w:eastAsia="Times New Roman" w:hAnsi="Times New Roman" w:cs="Times New Roman"/>
                <w:b/>
                <w:szCs w:val="20"/>
              </w:rPr>
            </w:pPr>
            <w:r w:rsidRPr="002835A8">
              <w:rPr>
                <w:rFonts w:ascii="Times New Roman" w:eastAsia="Times New Roman" w:hAnsi="Times New Roman" w:cs="Times New Roman"/>
                <w:b/>
                <w:szCs w:val="20"/>
              </w:rPr>
              <w:t xml:space="preserve">WARUNKI ODSTĄPIENIA OD UMOWY DEWELOPERSKIEJ LUB UMOWY, O KTÓREJ MOWA W ART. 2 UST. 1 PKT 2, 3 LUB 5 USTAWY Z </w:t>
            </w:r>
            <w:r w:rsidRPr="005D7087">
              <w:rPr>
                <w:rFonts w:ascii="Times New Roman" w:eastAsia="Times New Roman" w:hAnsi="Times New Roman" w:cs="Times New Roman"/>
                <w:b/>
                <w:szCs w:val="20"/>
              </w:rPr>
              <w:t xml:space="preserve">DNIA </w:t>
            </w:r>
            <w:r w:rsidRPr="005D7087">
              <w:rPr>
                <w:rFonts w:ascii="Times New Roman" w:eastAsia="Times New Roman" w:hAnsi="Times New Roman" w:cs="Times New Roman"/>
                <w:b/>
                <w:color w:val="000000" w:themeColor="text1"/>
                <w:szCs w:val="20"/>
              </w:rPr>
              <w:t xml:space="preserve">20 MAJA 2021 R. </w:t>
            </w:r>
            <w:r w:rsidRPr="005D7087">
              <w:rPr>
                <w:rFonts w:ascii="Times New Roman" w:eastAsia="Times New Roman" w:hAnsi="Times New Roman" w:cs="Times New Roman"/>
                <w:b/>
                <w:szCs w:val="20"/>
              </w:rPr>
              <w:t>O OCHRONIE</w:t>
            </w:r>
            <w:r w:rsidRPr="002835A8">
              <w:rPr>
                <w:rFonts w:ascii="Times New Roman" w:eastAsia="Times New Roman" w:hAnsi="Times New Roman" w:cs="Times New Roman"/>
                <w:b/>
                <w:szCs w:val="20"/>
              </w:rPr>
              <w:t xml:space="preserve"> PRAW NABYWCY LOKALU MIESZKALNEGO LUB DOMU JEDNORODZINNEGO ORAZ O DEWE</w:t>
            </w:r>
            <w:r>
              <w:rPr>
                <w:rFonts w:ascii="Times New Roman" w:eastAsia="Times New Roman" w:hAnsi="Times New Roman" w:cs="Times New Roman"/>
                <w:b/>
                <w:szCs w:val="20"/>
              </w:rPr>
              <w:t>LOPERSKIM FUNDUSZU GWARANCYJNYM</w:t>
            </w:r>
          </w:p>
        </w:tc>
      </w:tr>
      <w:tr w:rsidR="00AF3187" w:rsidRPr="002835A8" w14:paraId="14195AFB" w14:textId="77777777" w:rsidTr="00FC4471">
        <w:trPr>
          <w:trHeight w:val="1512"/>
        </w:trPr>
        <w:tc>
          <w:tcPr>
            <w:tcW w:w="3099" w:type="dxa"/>
            <w:tcBorders>
              <w:bottom w:val="single" w:sz="4" w:space="0" w:color="auto"/>
            </w:tcBorders>
            <w:shd w:val="clear" w:color="auto" w:fill="F3F3F3"/>
          </w:tcPr>
          <w:p w14:paraId="0A2A931E" w14:textId="77777777" w:rsidR="00AF3187" w:rsidRPr="00C36920" w:rsidRDefault="00AF3187" w:rsidP="00FC4471">
            <w:pPr>
              <w:spacing w:beforeLines="60" w:before="144" w:afterLines="60" w:after="144" w:line="240" w:lineRule="auto"/>
              <w:jc w:val="both"/>
              <w:rPr>
                <w:rFonts w:ascii="Times New Roman" w:eastAsia="Times New Roman" w:hAnsi="Times New Roman" w:cs="Times New Roman"/>
                <w:szCs w:val="20"/>
              </w:rPr>
            </w:pPr>
            <w:r w:rsidRPr="00C36920">
              <w:rPr>
                <w:rFonts w:ascii="Times New Roman" w:eastAsia="Times New Roman" w:hAnsi="Times New Roman" w:cs="Times New Roman"/>
                <w:szCs w:val="20"/>
              </w:rPr>
              <w:t xml:space="preserve">Warunki, na jakich można odstąpić od umowy </w:t>
            </w:r>
            <w:proofErr w:type="spellStart"/>
            <w:r w:rsidRPr="00C36920">
              <w:rPr>
                <w:rFonts w:ascii="Times New Roman" w:eastAsia="Times New Roman" w:hAnsi="Times New Roman" w:cs="Times New Roman"/>
                <w:szCs w:val="20"/>
              </w:rPr>
              <w:t>dewelo</w:t>
            </w:r>
            <w:proofErr w:type="spellEnd"/>
            <w:r w:rsidRPr="00C36920">
              <w:rPr>
                <w:rFonts w:ascii="Times New Roman" w:eastAsia="Times New Roman" w:hAnsi="Times New Roman" w:cs="Times New Roman"/>
                <w:szCs w:val="20"/>
              </w:rPr>
              <w:t>- perskiej lub jednej z umów, o których mowa w art. 2 ust. 1 pkt 2, 3 lub 5 ustawy z dnia 20 maja 2021 r. o ochronie praw nabywcy lokalu mieszkalnego lub domu jednorodzinnego oraz Deweloperskim Funduszu Gwarancyjnym</w:t>
            </w:r>
          </w:p>
        </w:tc>
        <w:tc>
          <w:tcPr>
            <w:tcW w:w="6683" w:type="dxa"/>
            <w:gridSpan w:val="2"/>
          </w:tcPr>
          <w:p w14:paraId="1E5AAE35" w14:textId="77777777" w:rsidR="00AF3187" w:rsidRPr="00C36920" w:rsidRDefault="00AF3187" w:rsidP="00FC4471">
            <w:pPr>
              <w:pStyle w:val="Tekstpodstawowy"/>
              <w:autoSpaceDE/>
              <w:autoSpaceDN/>
              <w:spacing w:before="0"/>
              <w:ind w:left="0" w:firstLine="0"/>
            </w:pPr>
            <w:r w:rsidRPr="00C36920">
              <w:rPr>
                <w:b/>
              </w:rPr>
              <w:t>1.</w:t>
            </w:r>
            <w:r w:rsidRPr="00C36920">
              <w:t xml:space="preserve"> </w:t>
            </w:r>
            <w:bookmarkStart w:id="1" w:name="_Hlk122540410"/>
            <w:r w:rsidRPr="00C36920">
              <w:t xml:space="preserve">Nabywcom przysługuje prawo do odstąpienia od umowy deweloperskiej, w przypadku: </w:t>
            </w:r>
          </w:p>
          <w:p w14:paraId="17D9E599" w14:textId="77777777" w:rsidR="00AF3187" w:rsidRPr="00C36920" w:rsidRDefault="00AF3187" w:rsidP="00FC4471">
            <w:pPr>
              <w:pStyle w:val="Tekstpodstawowy"/>
              <w:autoSpaceDE/>
              <w:autoSpaceDN/>
              <w:spacing w:before="0"/>
              <w:ind w:left="0" w:firstLine="0"/>
            </w:pPr>
            <w:r w:rsidRPr="00C36920">
              <w:t xml:space="preserve">a) jeżeli umowa deweloperska nie zawiera elementów, o których mowa w art. 35 ustawy z dnia 20 maja 2021 r. o ochronie praw nabywcy lokalu mieszkalnego lub domu jednorodzinnego oraz Deweloperskim Funduszu Gwarancyjnym (tekst jedn. w Dz. U. z 2024 r., poz. 695); </w:t>
            </w:r>
          </w:p>
          <w:p w14:paraId="1D49D6DB" w14:textId="77777777" w:rsidR="00AF3187" w:rsidRPr="00C36920" w:rsidRDefault="00AF3187" w:rsidP="00FC4471">
            <w:pPr>
              <w:pStyle w:val="Tekstpodstawowy"/>
              <w:autoSpaceDE/>
              <w:autoSpaceDN/>
              <w:spacing w:before="0"/>
              <w:ind w:left="0" w:firstLine="0"/>
            </w:pPr>
            <w:r w:rsidRPr="00C36920">
              <w:t xml:space="preserve">b) jeżeli informacje zawarte w umowie deweloperskiej nie są zgodne z informacjami zawartymi w prospekcie informacyjnym lub jego załącznikach, z wyjątkiem zmian, o których mowa w § 10 umowy deweloperskiej wprowadzonych zgodnie z art. 35 ust. 2 ustawy deweloperskiej z 2021 roku; </w:t>
            </w:r>
          </w:p>
          <w:p w14:paraId="34C452D8" w14:textId="77777777" w:rsidR="00AF3187" w:rsidRPr="00C36920" w:rsidRDefault="00AF3187" w:rsidP="00FC4471">
            <w:pPr>
              <w:pStyle w:val="Tekstpodstawowy"/>
              <w:autoSpaceDE/>
              <w:autoSpaceDN/>
              <w:spacing w:before="0"/>
              <w:ind w:left="0" w:firstLine="0"/>
            </w:pPr>
            <w:r w:rsidRPr="00C36920">
              <w:t xml:space="preserve">c) jeżeli Deweloper nie doręczył Nabywcom zgodnie z art. 21 lub art. 22 ustawy deweloperskiej z 2021 roku prospektu informacyjnego dotyczącego Przedsięwzięcia Deweloperskiego, wraz z załącznikami lub informacji o zmianie danych lub informacji zawartych w prospekcie informacyjnym lub jego załącznikach; </w:t>
            </w:r>
          </w:p>
          <w:p w14:paraId="6AAB06A7" w14:textId="77777777" w:rsidR="00AF3187" w:rsidRPr="00C36920" w:rsidRDefault="00AF3187" w:rsidP="00FC4471">
            <w:pPr>
              <w:pStyle w:val="Tekstpodstawowy"/>
              <w:autoSpaceDE/>
              <w:autoSpaceDN/>
              <w:spacing w:before="0"/>
              <w:ind w:left="0" w:firstLine="0"/>
            </w:pPr>
            <w:r w:rsidRPr="00C36920">
              <w:t>d) jeżeli dane lub informacje zawarte w prospekcie informacyjnym lub jego załącznikach, na podstawie których zawarto umowę deweloperską, są niezgodne ze stanem faktycznym lub prawnym w dniu zawarcia umowy;</w:t>
            </w:r>
          </w:p>
          <w:p w14:paraId="3E2B1ADF" w14:textId="77777777" w:rsidR="00AF3187" w:rsidRPr="00C36920" w:rsidRDefault="00AF3187" w:rsidP="00FC4471">
            <w:pPr>
              <w:pStyle w:val="Tekstpodstawowy"/>
              <w:autoSpaceDE/>
              <w:autoSpaceDN/>
              <w:spacing w:before="0"/>
              <w:ind w:left="0" w:firstLine="0"/>
            </w:pPr>
            <w:r w:rsidRPr="00C36920">
              <w:t>e) jeżeli prospekt informacyjny, na podstawie którego zawarto umowę deweloperską, nie zawiera danych lub informacji określonych we wzorze prospektu informacyjnego;</w:t>
            </w:r>
          </w:p>
          <w:p w14:paraId="16B2AD90" w14:textId="77777777" w:rsidR="00AF3187" w:rsidRPr="00C36920" w:rsidRDefault="00AF3187" w:rsidP="00FC4471">
            <w:pPr>
              <w:pStyle w:val="Tekstpodstawowy"/>
              <w:autoSpaceDE/>
              <w:autoSpaceDN/>
              <w:spacing w:before="0"/>
              <w:ind w:left="0" w:firstLine="0"/>
            </w:pPr>
            <w:r w:rsidRPr="00C36920">
              <w:t xml:space="preserve">f) </w:t>
            </w:r>
            <w:proofErr w:type="spellStart"/>
            <w:r w:rsidRPr="00C36920">
              <w:t>nieprzeniesienia</w:t>
            </w:r>
            <w:proofErr w:type="spellEnd"/>
            <w:r w:rsidRPr="00C36920">
              <w:t xml:space="preserve"> na Nabywców praw wynikających z umowy deweloperskiej, w terminie wynikającym z tej umowy; </w:t>
            </w:r>
          </w:p>
          <w:p w14:paraId="5FB92AE7" w14:textId="77777777" w:rsidR="00AF3187" w:rsidRPr="00C36920" w:rsidRDefault="00AF3187" w:rsidP="00FC4471">
            <w:pPr>
              <w:pStyle w:val="Tekstpodstawowy"/>
              <w:autoSpaceDE/>
              <w:autoSpaceDN/>
              <w:spacing w:before="0"/>
              <w:ind w:left="0" w:firstLine="0"/>
            </w:pPr>
            <w:r w:rsidRPr="00C36920">
              <w:t xml:space="preserve">g) gdy Deweloper nie zawrze umowy mieszkaniowego rachunku powierniczego z innym bankiem w trybie i terminie, o których mowa w art. 10 ust. 1 ustawy deweloperskiej z 2021 roku; </w:t>
            </w:r>
          </w:p>
          <w:p w14:paraId="5DAFC598" w14:textId="77777777" w:rsidR="00AF3187" w:rsidRPr="00C36920" w:rsidRDefault="00AF3187" w:rsidP="00FC4471">
            <w:pPr>
              <w:pStyle w:val="Tekstpodstawowy"/>
              <w:autoSpaceDE/>
              <w:autoSpaceDN/>
              <w:spacing w:before="0"/>
              <w:ind w:left="0" w:firstLine="0"/>
            </w:pPr>
            <w:r w:rsidRPr="00C36920">
              <w:t xml:space="preserve">h) gdy Deweloper nie posiada zgody wierzyciela hipotecznego lub zobowiązania do jej udzielenia, o których mowa w art. 25 ust. 1 pkt 1 lub 2 ustawy deweloperskiej z 2021 roku; </w:t>
            </w:r>
          </w:p>
          <w:p w14:paraId="3B3C44B7" w14:textId="77777777" w:rsidR="00AF3187" w:rsidRPr="00C36920" w:rsidRDefault="00AF3187" w:rsidP="00FC4471">
            <w:pPr>
              <w:pStyle w:val="Tekstpodstawowy"/>
              <w:autoSpaceDE/>
              <w:autoSpaceDN/>
              <w:spacing w:before="0"/>
              <w:ind w:left="0" w:firstLine="0"/>
            </w:pPr>
            <w:r w:rsidRPr="00C36920">
              <w:t xml:space="preserve">i) niewykonania przez Dewelopera obowiązku, o którym mowa w art. 12 ust. 2 ustawy deweloperskiej z 2021 roku, w terminie określonym w tym przepisie; </w:t>
            </w:r>
          </w:p>
          <w:p w14:paraId="1224FAEC" w14:textId="77777777" w:rsidR="00AF3187" w:rsidRPr="00C36920" w:rsidRDefault="00AF3187" w:rsidP="00FC4471">
            <w:pPr>
              <w:pStyle w:val="Tekstpodstawowy"/>
              <w:autoSpaceDE/>
              <w:autoSpaceDN/>
              <w:spacing w:before="0"/>
              <w:ind w:left="0" w:firstLine="0"/>
            </w:pPr>
            <w:r w:rsidRPr="00C36920">
              <w:t xml:space="preserve">j) nieusunięcia przez Dewelopera wady istotnej Lokalu Mieszkalnego na zasadach określonych w art. 41 ust. 11 ustawy deweloperskiej z 2021 roku; </w:t>
            </w:r>
          </w:p>
          <w:p w14:paraId="2FBAEC6D" w14:textId="77777777" w:rsidR="00AF3187" w:rsidRPr="00C36920" w:rsidRDefault="00AF3187" w:rsidP="00FC4471">
            <w:pPr>
              <w:pStyle w:val="Tekstpodstawowy"/>
              <w:autoSpaceDE/>
              <w:autoSpaceDN/>
              <w:spacing w:before="0"/>
              <w:ind w:left="0" w:firstLine="0"/>
            </w:pPr>
            <w:r w:rsidRPr="00C36920">
              <w:t xml:space="preserve">k) stwierdzenia przez rzeczoznawcę istnienia wady istotnej, o którym mowa w art. 41 ust. 15 ustawy deweloperskiej z 2021 roku; </w:t>
            </w:r>
          </w:p>
          <w:p w14:paraId="310CF062" w14:textId="77777777" w:rsidR="00AF3187" w:rsidRPr="00C36920" w:rsidRDefault="00AF3187" w:rsidP="00FC4471">
            <w:pPr>
              <w:pStyle w:val="Tekstpodstawowy"/>
              <w:autoSpaceDE/>
              <w:autoSpaceDN/>
              <w:spacing w:before="0"/>
              <w:ind w:left="0" w:firstLine="0"/>
            </w:pPr>
            <w:r w:rsidRPr="00C36920">
              <w:t xml:space="preserve">l) jeżeli syndyk zażądał wykonania umowy na podstawie art. 98 ustawy z dnia 28 lutego 2003 r. – Prawo upadłościowe. </w:t>
            </w:r>
          </w:p>
          <w:p w14:paraId="586EB0D3" w14:textId="77777777" w:rsidR="00AF3187" w:rsidRPr="00C36920" w:rsidRDefault="00AF3187" w:rsidP="00FC4471">
            <w:pPr>
              <w:pStyle w:val="Tekstpodstawowy"/>
              <w:autoSpaceDE/>
              <w:autoSpaceDN/>
              <w:spacing w:before="0"/>
              <w:ind w:left="0" w:firstLine="0"/>
            </w:pPr>
            <w:r w:rsidRPr="00C36920">
              <w:rPr>
                <w:b/>
                <w:bCs/>
              </w:rPr>
              <w:t>2</w:t>
            </w:r>
            <w:r w:rsidRPr="00C36920">
              <w:t xml:space="preserve">. W przypadkach, o których mowa w ust. 1 pkt. a-e, Nabywcy mają prawo odstąpienia od umowy deweloperskiej w terminie 30 dni od dnia jej zawarcia. </w:t>
            </w:r>
          </w:p>
          <w:p w14:paraId="29826499" w14:textId="77777777" w:rsidR="00AF3187" w:rsidRPr="00C36920" w:rsidRDefault="00AF3187" w:rsidP="00FC4471">
            <w:pPr>
              <w:pStyle w:val="Tekstpodstawowy"/>
              <w:autoSpaceDE/>
              <w:autoSpaceDN/>
              <w:spacing w:before="0"/>
              <w:ind w:left="0" w:firstLine="0"/>
              <w:rPr>
                <w:strike/>
              </w:rPr>
            </w:pPr>
            <w:r w:rsidRPr="00C36920">
              <w:rPr>
                <w:b/>
                <w:bCs/>
              </w:rPr>
              <w:t>3.</w:t>
            </w:r>
            <w:r w:rsidRPr="00C36920">
              <w:t xml:space="preserve"> W przypadku, o którym mowa w ust. 3 pkt f, przed skorzystaniem z prawa do odstąpienia od umowy, Nabywcy wyznaczają Deweloperowi 120-dniowy termin </w:t>
            </w:r>
            <w:r w:rsidRPr="00C36920">
              <w:lastRenderedPageBreak/>
              <w:t xml:space="preserve">na przeniesienie praw wynikających z umowy deweloperskiej, a w razie bezskutecznego upływu wyznaczonego terminu są uprawnieni do odstąpienia od umowy. </w:t>
            </w:r>
          </w:p>
          <w:p w14:paraId="0A5A022C" w14:textId="77777777" w:rsidR="00AF3187" w:rsidRPr="00C36920" w:rsidRDefault="00AF3187" w:rsidP="00FC4471">
            <w:pPr>
              <w:pStyle w:val="Tekstpodstawowy"/>
              <w:autoSpaceDE/>
              <w:autoSpaceDN/>
              <w:spacing w:before="0"/>
              <w:ind w:left="0" w:firstLine="0"/>
            </w:pPr>
            <w:r w:rsidRPr="00C36920">
              <w:rPr>
                <w:b/>
                <w:bCs/>
              </w:rPr>
              <w:t xml:space="preserve">4 </w:t>
            </w:r>
            <w:r w:rsidRPr="00C36920">
              <w:t>W przypadku, o którym mowa w ust. 1 pkt g, Nabywcy mają prawo odstąpienia od umowy deweloperskiej po dokonaniu przez Bank zwrotu środków zgodnie z art. 10 ust. 3 ustawy deweloperskiej z 2021 roku.</w:t>
            </w:r>
          </w:p>
          <w:p w14:paraId="3A121B7D" w14:textId="77777777" w:rsidR="00AF3187" w:rsidRPr="00C36920" w:rsidRDefault="00AF3187" w:rsidP="00FC4471">
            <w:pPr>
              <w:pStyle w:val="Tekstpodstawowy"/>
              <w:autoSpaceDE/>
              <w:autoSpaceDN/>
              <w:spacing w:before="0"/>
              <w:ind w:left="0" w:firstLine="0"/>
            </w:pPr>
            <w:r w:rsidRPr="00C36920">
              <w:rPr>
                <w:b/>
                <w:bCs/>
              </w:rPr>
              <w:t>5</w:t>
            </w:r>
            <w:r w:rsidRPr="00C36920">
              <w:t xml:space="preserve">. W przypadku, o którym mowa w ust. 1 pkt h, Nabywcy mają prawo odstąpienia od umowy deweloperskiej w terminie 60 dni od dnia jej zawarcia. </w:t>
            </w:r>
          </w:p>
          <w:p w14:paraId="63B56B84" w14:textId="77777777" w:rsidR="00AF3187" w:rsidRPr="00C36920" w:rsidRDefault="00AF3187" w:rsidP="00FC4471">
            <w:pPr>
              <w:pStyle w:val="Tekstpodstawowy"/>
              <w:autoSpaceDE/>
              <w:autoSpaceDN/>
              <w:spacing w:before="0"/>
              <w:ind w:left="0" w:firstLine="0"/>
            </w:pPr>
            <w:r w:rsidRPr="00C36920">
              <w:rPr>
                <w:b/>
                <w:bCs/>
              </w:rPr>
              <w:t>6</w:t>
            </w:r>
            <w:r w:rsidRPr="00C36920">
              <w:t>. W przypadku, o którym mowa w ust. 1 pkt i, Nabywcy mają prawo odstąpienia od umowy deweloperskiej po upływie 60 dni od dnia podania do publicznej wiadomości informacji, o których mowa w art. 12 ust. 1 ustawy deweloperskiej z 2021 roku.</w:t>
            </w:r>
          </w:p>
          <w:p w14:paraId="41EA9061" w14:textId="77777777" w:rsidR="00AF3187" w:rsidRPr="00C36920" w:rsidRDefault="00AF3187" w:rsidP="00FC4471">
            <w:pPr>
              <w:pStyle w:val="Tekstpodstawowy"/>
              <w:autoSpaceDE/>
              <w:autoSpaceDN/>
              <w:spacing w:before="0"/>
              <w:ind w:left="0" w:firstLine="0"/>
            </w:pPr>
            <w:r w:rsidRPr="00C36920">
              <w:rPr>
                <w:b/>
                <w:bCs/>
              </w:rPr>
              <w:t>7.</w:t>
            </w:r>
            <w:r w:rsidRPr="00C36920">
              <w:t xml:space="preserve"> Deweloper ma prawo odstąpić od umowy deweloperskiej w przypadku niespełnienia przez Nabywców świadczenia pieniężnego w terminie lub wysokości określonych w umowie deweloperskiej, mimo wezwania Nabywców w formie pisemnej do uiszczenia zaległych kwot w terminie 30 dni od dnia doręczenia wezwania, chyba że niespełnienie przez Nabywców świadczenia pieniężnego jest spowodowane działaniem siły wyższej.</w:t>
            </w:r>
          </w:p>
          <w:p w14:paraId="5EB1A284" w14:textId="77777777" w:rsidR="00AF3187" w:rsidRPr="00C36920" w:rsidRDefault="00AF3187" w:rsidP="00FC4471">
            <w:pPr>
              <w:pStyle w:val="Tekstpodstawowy"/>
              <w:autoSpaceDE/>
              <w:autoSpaceDN/>
              <w:spacing w:before="0"/>
              <w:ind w:left="0" w:firstLine="0"/>
            </w:pPr>
            <w:r w:rsidRPr="00C36920">
              <w:rPr>
                <w:b/>
                <w:bCs/>
              </w:rPr>
              <w:t>8.</w:t>
            </w:r>
            <w:r w:rsidRPr="00C36920">
              <w:t xml:space="preserve"> Deweloper ma prawo odstąpić od umowy deweloperskiej w przypadku niestawienia się Nabywców do odbioru Lokalu Mieszkalnego lub podpisania aktu notarialnego Umowy Przeniesienia Własności, mimo dwukrotnego doręczenia wezwania w formie pisemnej w odstępie co najmniej 60 dni, chyba że niestawienie się Nabywców jest spowodowane działaniem siły wyższej. </w:t>
            </w:r>
          </w:p>
          <w:p w14:paraId="5FB49484" w14:textId="77777777" w:rsidR="00AF3187" w:rsidRPr="00C36920" w:rsidRDefault="00AF3187" w:rsidP="00FC4471">
            <w:pPr>
              <w:pStyle w:val="Tekstpodstawowy"/>
              <w:autoSpaceDE/>
              <w:autoSpaceDN/>
              <w:spacing w:before="0"/>
              <w:ind w:left="0" w:firstLine="0"/>
            </w:pPr>
            <w:r w:rsidRPr="00C36920">
              <w:rPr>
                <w:b/>
                <w:bCs/>
              </w:rPr>
              <w:t>9.</w:t>
            </w:r>
            <w:r w:rsidRPr="00C36920">
              <w:t xml:space="preserve"> W przypadku skorzystania przez Nabywców z prawa odstąpienia, o którym mowa w  ust. 1 niniejszego paragrafu, umowa uważana jest za niezawartą, a Nabywcy nie ponoszą żadnych kosztów związanych z odstąpieniem od umowy deweloperskiej.</w:t>
            </w:r>
          </w:p>
          <w:p w14:paraId="2DB281BE" w14:textId="77777777" w:rsidR="00AF3187" w:rsidRPr="00C36920" w:rsidRDefault="00AF3187" w:rsidP="00FC4471">
            <w:pPr>
              <w:pStyle w:val="Tekstpodstawowy"/>
              <w:autoSpaceDE/>
              <w:autoSpaceDN/>
              <w:spacing w:before="0"/>
              <w:ind w:left="0" w:firstLine="0"/>
            </w:pPr>
            <w:r w:rsidRPr="00C36920">
              <w:rPr>
                <w:b/>
                <w:bCs/>
              </w:rPr>
              <w:t>10</w:t>
            </w:r>
            <w:r w:rsidRPr="00C36920">
              <w:t xml:space="preserve">. Deweloper ma obowiązek niezwłocznie, jednak nie później niż w terminie 30 dni od dnia otrzymania oświadczenia Nabywców o odstąpieniu od umowy, zwrócić Nabywcom środki wypłacone Deweloperowi przez bank z otwartego mieszkaniowego rachunku powierniczego w związku z realizacją umowy deweloperskiej. </w:t>
            </w:r>
          </w:p>
          <w:p w14:paraId="34281E2E" w14:textId="77777777" w:rsidR="00AF3187" w:rsidRPr="00C36920" w:rsidRDefault="00AF3187" w:rsidP="00FC4471">
            <w:pPr>
              <w:pStyle w:val="Tekstpodstawowy"/>
              <w:autoSpaceDE/>
              <w:autoSpaceDN/>
              <w:spacing w:before="0"/>
              <w:ind w:left="0" w:firstLine="0"/>
            </w:pPr>
            <w:r w:rsidRPr="00C36920">
              <w:rPr>
                <w:b/>
                <w:bCs/>
              </w:rPr>
              <w:t>11.</w:t>
            </w:r>
            <w:r w:rsidRPr="00C36920">
              <w:rPr>
                <w:i/>
                <w:iCs/>
              </w:rPr>
              <w:t xml:space="preserve"> </w:t>
            </w:r>
            <w:r w:rsidRPr="00C36920">
              <w:t>Oświadczenie woli Nabywców o odstąpieniu od umowy deweloperskiej jest skuteczne, jeżeli zawiera zgodę na wykreślenie z księgi wieczystej roszczenia Nabywców o</w:t>
            </w:r>
            <w:r w:rsidRPr="00C36920">
              <w:rPr>
                <w:bCs/>
              </w:rPr>
              <w:t xml:space="preserve"> </w:t>
            </w:r>
            <w:r w:rsidRPr="00C36920">
              <w:t>wybudowanie Budynku, wyodrębnienie Lokalu mieszkalnego</w:t>
            </w:r>
            <w:r w:rsidRPr="00C36920">
              <w:rPr>
                <w:b/>
              </w:rPr>
              <w:t xml:space="preserve"> </w:t>
            </w:r>
            <w:r w:rsidRPr="00C36920">
              <w:rPr>
                <w:bCs/>
              </w:rPr>
              <w:t>i przeniesienie prawa własności tego Lokalu oraz praw niezbędnych do korzystania z Lokalu na Nabywców</w:t>
            </w:r>
            <w:r w:rsidRPr="00C36920">
              <w:rPr>
                <w:bCs/>
                <w:i/>
                <w:iCs/>
              </w:rPr>
              <w:t xml:space="preserve"> </w:t>
            </w:r>
            <w:r w:rsidRPr="00C36920">
              <w:t xml:space="preserve">i jest złożone w formie pisemnej z podpisami notarialnie poświadczonymi. </w:t>
            </w:r>
          </w:p>
          <w:p w14:paraId="021AA17B" w14:textId="77777777" w:rsidR="00AF3187" w:rsidRPr="00C36920" w:rsidRDefault="00AF3187" w:rsidP="00FC4471">
            <w:pPr>
              <w:pStyle w:val="Tekstpodstawowy"/>
              <w:autoSpaceDE/>
              <w:autoSpaceDN/>
              <w:spacing w:before="0"/>
              <w:ind w:left="0" w:firstLine="0"/>
            </w:pPr>
            <w:r w:rsidRPr="00C36920">
              <w:rPr>
                <w:b/>
                <w:bCs/>
              </w:rPr>
              <w:t>12.</w:t>
            </w:r>
            <w:r w:rsidRPr="00C36920">
              <w:t xml:space="preserve"> W przypadku odstąpienia od umowy deweloperskiej przez Dewelopera na podstawie ust. 7 lub ust. 8, Nabywcy są zobowiązani wyrazić zgodę na wykreślenie z księgi wieczystej roszczenia Nabywców o</w:t>
            </w:r>
            <w:r w:rsidRPr="00C36920">
              <w:rPr>
                <w:bCs/>
              </w:rPr>
              <w:t xml:space="preserve"> </w:t>
            </w:r>
            <w:r w:rsidRPr="00C36920">
              <w:t>wybudowanie Budynku, wyodrębnienie Lokalu mieszkalnego</w:t>
            </w:r>
            <w:r w:rsidRPr="00C36920">
              <w:rPr>
                <w:b/>
              </w:rPr>
              <w:t xml:space="preserve"> </w:t>
            </w:r>
            <w:r w:rsidRPr="00C36920">
              <w:rPr>
                <w:bCs/>
              </w:rPr>
              <w:t>i przeniesienie prawa własności tego Lokalu oraz praw niezbędnych do korzystania z Lokalu na Nabywców</w:t>
            </w:r>
            <w:r w:rsidRPr="00C36920">
              <w:rPr>
                <w:i/>
                <w:iCs/>
                <w:shd w:val="clear" w:color="auto" w:fill="FFFFFF"/>
              </w:rPr>
              <w:t>,</w:t>
            </w:r>
            <w:r w:rsidRPr="00C36920">
              <w:t xml:space="preserve"> w formie pisemnej z podpisami notarialnie poświadczonymi.</w:t>
            </w:r>
            <w:bookmarkStart w:id="2" w:name="_Hlk122540992"/>
          </w:p>
          <w:p w14:paraId="52B1AC32" w14:textId="77777777" w:rsidR="00AF3187" w:rsidRPr="00C36920" w:rsidRDefault="00AF3187" w:rsidP="00FC4471">
            <w:pPr>
              <w:pStyle w:val="Tekstpodstawowy"/>
              <w:autoSpaceDE/>
              <w:autoSpaceDN/>
              <w:spacing w:before="0"/>
              <w:ind w:left="0" w:firstLine="0"/>
            </w:pPr>
            <w:r w:rsidRPr="00C36920">
              <w:rPr>
                <w:b/>
              </w:rPr>
              <w:t>13</w:t>
            </w:r>
            <w:r w:rsidRPr="00C36920">
              <w:rPr>
                <w:bCs/>
              </w:rPr>
              <w:t>. Ponadto Nabywcy mają prawo odstąpienia od umowy deweloperskiej:</w:t>
            </w:r>
          </w:p>
          <w:p w14:paraId="0527E312" w14:textId="77777777" w:rsidR="00AF3187" w:rsidRPr="00C36920" w:rsidRDefault="00AF3187" w:rsidP="00FC4471">
            <w:pPr>
              <w:spacing w:after="0" w:line="240" w:lineRule="auto"/>
              <w:jc w:val="both"/>
              <w:rPr>
                <w:rFonts w:ascii="Times New Roman" w:hAnsi="Times New Roman" w:cs="Times New Roman"/>
                <w:sz w:val="20"/>
                <w:szCs w:val="20"/>
              </w:rPr>
            </w:pPr>
            <w:r w:rsidRPr="00C36920">
              <w:rPr>
                <w:rFonts w:ascii="Times New Roman" w:hAnsi="Times New Roman" w:cs="Times New Roman"/>
                <w:b/>
                <w:sz w:val="20"/>
                <w:szCs w:val="20"/>
              </w:rPr>
              <w:t>a/</w:t>
            </w:r>
            <w:r w:rsidRPr="00C36920">
              <w:rPr>
                <w:rFonts w:ascii="Times New Roman" w:hAnsi="Times New Roman" w:cs="Times New Roman"/>
                <w:bCs/>
                <w:sz w:val="20"/>
                <w:szCs w:val="20"/>
              </w:rPr>
              <w:t xml:space="preserve"> w przypadku zmniejszenia lub zwiększenia powierzchni użytkowej Lokalu Mieszkalnego po wybudowaniu o więcej niż 2% albo w przypadku wystąpienia konieczności dokonania dopłaty przez Nabywców z powodu zwiększenia powierzchni użytkowej Lokalu Mieszkalnego</w:t>
            </w:r>
            <w:bookmarkEnd w:id="2"/>
            <w:r w:rsidRPr="00C36920">
              <w:rPr>
                <w:rFonts w:ascii="Times New Roman" w:hAnsi="Times New Roman" w:cs="Times New Roman"/>
                <w:bCs/>
                <w:sz w:val="20"/>
                <w:szCs w:val="20"/>
              </w:rPr>
              <w:t xml:space="preserve"> - w ciągu 14 dni kalendarzowych od dnia otrzymania przez Nabywców zawiadomienia o zmianie powierzchni użytkowej Lokalu Mieszkalnego po wybudowaniu o więcej niż 2% lub o podwyższeniu Ceny w związku ze zwiększeniem jego powierzchni użytkowej, przy czym p</w:t>
            </w:r>
            <w:r w:rsidRPr="00C36920">
              <w:rPr>
                <w:rFonts w:ascii="Times New Roman" w:hAnsi="Times New Roman" w:cs="Times New Roman"/>
                <w:sz w:val="20"/>
                <w:szCs w:val="20"/>
              </w:rPr>
              <w:t xml:space="preserve">ostanowienia te nie mają zastosowania w przypadku zmiany powierzchni Lokalu Mieszkalnego na skutek zmian aranżacyjnych wprowadzonych przez Dewelopera na wniosek Nabywców (w tym w szczególności zmiany układu ścian działowych), tj. Cena nie ulegnie zmianie, a Nabywcom nie przysługuje prawo odstąpienia od umowy deweloperskiej, </w:t>
            </w:r>
          </w:p>
          <w:p w14:paraId="663ED90B" w14:textId="77777777" w:rsidR="00AF3187" w:rsidRPr="00C36920" w:rsidRDefault="00AF3187" w:rsidP="00FC4471">
            <w:pPr>
              <w:spacing w:after="0" w:line="240" w:lineRule="auto"/>
              <w:jc w:val="both"/>
              <w:rPr>
                <w:rFonts w:ascii="Times New Roman" w:eastAsia="Times New Roman" w:hAnsi="Times New Roman" w:cs="Times New Roman"/>
                <w:sz w:val="20"/>
                <w:szCs w:val="20"/>
              </w:rPr>
            </w:pPr>
            <w:r w:rsidRPr="00C36920">
              <w:rPr>
                <w:rFonts w:ascii="Times New Roman" w:hAnsi="Times New Roman" w:cs="Times New Roman"/>
                <w:b/>
                <w:sz w:val="20"/>
                <w:szCs w:val="20"/>
              </w:rPr>
              <w:t xml:space="preserve">b/ </w:t>
            </w:r>
            <w:bookmarkStart w:id="3" w:name="_Hlk122541019"/>
            <w:r w:rsidRPr="00C36920">
              <w:rPr>
                <w:rFonts w:ascii="Times New Roman" w:hAnsi="Times New Roman" w:cs="Times New Roman"/>
                <w:bCs/>
                <w:sz w:val="20"/>
                <w:szCs w:val="20"/>
              </w:rPr>
              <w:t>w</w:t>
            </w:r>
            <w:r w:rsidRPr="00C36920">
              <w:rPr>
                <w:rFonts w:ascii="Times New Roman" w:hAnsi="Times New Roman" w:cs="Times New Roman"/>
                <w:sz w:val="20"/>
                <w:szCs w:val="20"/>
              </w:rPr>
              <w:t xml:space="preserve"> przypadku wystąpienia konieczności dokonania dopłat do Ceny przez Nabywców, </w:t>
            </w:r>
            <w:bookmarkEnd w:id="3"/>
            <w:r w:rsidRPr="00C36920">
              <w:rPr>
                <w:rFonts w:ascii="Times New Roman" w:hAnsi="Times New Roman" w:cs="Times New Roman"/>
                <w:sz w:val="20"/>
                <w:szCs w:val="20"/>
              </w:rPr>
              <w:t xml:space="preserve">wskutek zmiany powszechnie obowiązujących przepisów prawnych dotyczących stawek podatku VAT w trakcie trwania umowy deweloperskiej - </w:t>
            </w:r>
            <w:r w:rsidRPr="00C36920">
              <w:rPr>
                <w:rFonts w:ascii="Times New Roman" w:hAnsi="Times New Roman" w:cs="Times New Roman"/>
                <w:color w:val="000000"/>
                <w:sz w:val="20"/>
                <w:szCs w:val="20"/>
              </w:rPr>
              <w:t xml:space="preserve">w </w:t>
            </w:r>
            <w:r w:rsidRPr="00C36920">
              <w:rPr>
                <w:rFonts w:ascii="Times New Roman" w:hAnsi="Times New Roman" w:cs="Times New Roman"/>
                <w:color w:val="000000"/>
                <w:sz w:val="20"/>
                <w:szCs w:val="20"/>
              </w:rPr>
              <w:lastRenderedPageBreak/>
              <w:t xml:space="preserve">ciągu 14 dni kalendarzowych od otrzymania przez Nabywców zawiadomienia o konieczności dokonania odpowiedniej korekty Ceny. </w:t>
            </w:r>
            <w:bookmarkEnd w:id="1"/>
          </w:p>
        </w:tc>
      </w:tr>
      <w:tr w:rsidR="00AF3187" w:rsidRPr="002835A8" w14:paraId="1D9211EF" w14:textId="77777777" w:rsidTr="00FC4471">
        <w:trPr>
          <w:trHeight w:val="510"/>
        </w:trPr>
        <w:tc>
          <w:tcPr>
            <w:tcW w:w="9782" w:type="dxa"/>
            <w:gridSpan w:val="3"/>
            <w:tcBorders>
              <w:bottom w:val="single" w:sz="4" w:space="0" w:color="auto"/>
            </w:tcBorders>
            <w:shd w:val="clear" w:color="auto" w:fill="D9D9D9"/>
          </w:tcPr>
          <w:p w14:paraId="2BC41CD0" w14:textId="77777777" w:rsidR="00AF3187" w:rsidRPr="00C36920" w:rsidRDefault="00AF3187" w:rsidP="00FC4471">
            <w:pPr>
              <w:spacing w:beforeLines="60" w:before="144" w:afterLines="60" w:after="144" w:line="240" w:lineRule="auto"/>
              <w:jc w:val="both"/>
              <w:rPr>
                <w:rFonts w:ascii="Times New Roman" w:eastAsia="Times New Roman" w:hAnsi="Times New Roman" w:cs="Times New Roman"/>
                <w:b/>
                <w:szCs w:val="20"/>
              </w:rPr>
            </w:pPr>
            <w:r w:rsidRPr="00C36920">
              <w:rPr>
                <w:rFonts w:ascii="Times New Roman" w:eastAsia="Times New Roman" w:hAnsi="Times New Roman" w:cs="Times New Roman"/>
                <w:b/>
                <w:szCs w:val="20"/>
              </w:rPr>
              <w:lastRenderedPageBreak/>
              <w:t xml:space="preserve">INNE INFORMACJE </w:t>
            </w:r>
          </w:p>
        </w:tc>
      </w:tr>
      <w:tr w:rsidR="00AF3187" w:rsidRPr="002835A8" w14:paraId="3F0DBDCF" w14:textId="77777777" w:rsidTr="00FC4471">
        <w:trPr>
          <w:trHeight w:val="1512"/>
        </w:trPr>
        <w:tc>
          <w:tcPr>
            <w:tcW w:w="9782" w:type="dxa"/>
            <w:gridSpan w:val="3"/>
            <w:tcBorders>
              <w:bottom w:val="nil"/>
            </w:tcBorders>
            <w:shd w:val="clear" w:color="auto" w:fill="F3F3F3"/>
          </w:tcPr>
          <w:p w14:paraId="07C6C469" w14:textId="77777777" w:rsidR="00AF3187" w:rsidRPr="006D33A0" w:rsidRDefault="00AF3187" w:rsidP="00FC4471">
            <w:pPr>
              <w:spacing w:beforeLines="60" w:before="144" w:afterLines="60" w:after="144"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I. Informacja o:</w:t>
            </w:r>
          </w:p>
          <w:p w14:paraId="6F69A7AA" w14:textId="77777777" w:rsidR="00AF3187" w:rsidRPr="006D33A0" w:rsidRDefault="00AF3187" w:rsidP="00FC4471">
            <w:pPr>
              <w:spacing w:beforeLines="60" w:before="144" w:afterLines="60" w:after="144" w:line="240" w:lineRule="auto"/>
              <w:ind w:left="313" w:hanging="313"/>
              <w:jc w:val="both"/>
              <w:rPr>
                <w:rFonts w:ascii="Times New Roman" w:eastAsia="Times New Roman" w:hAnsi="Times New Roman" w:cs="Times New Roman"/>
                <w:szCs w:val="20"/>
                <w:lang w:eastAsia="pl-PL"/>
              </w:rPr>
            </w:pPr>
            <w:r w:rsidRPr="006D33A0">
              <w:rPr>
                <w:rFonts w:ascii="Times New Roman" w:eastAsia="Times New Roman" w:hAnsi="Times New Roman" w:cs="Times New Roman"/>
                <w:szCs w:val="20"/>
              </w:rPr>
              <w:t>1)</w:t>
            </w:r>
            <w:r w:rsidRPr="006D33A0">
              <w:rPr>
                <w:rFonts w:ascii="Times New Roman" w:eastAsia="Times New Roman" w:hAnsi="Times New Roman" w:cs="Times New Roman"/>
                <w:szCs w:val="20"/>
              </w:rPr>
              <w:tab/>
              <w:t xml:space="preserve">o zgodzie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r w:rsidRPr="006D33A0">
              <w:rPr>
                <w:rFonts w:ascii="Times New Roman" w:eastAsia="Times New Roman" w:hAnsi="Times New Roman" w:cs="Times New Roman"/>
                <w:szCs w:val="20"/>
                <w:lang w:eastAsia="pl-PL"/>
              </w:rPr>
              <w:t xml:space="preserve"> </w:t>
            </w:r>
          </w:p>
          <w:p w14:paraId="43521573" w14:textId="77777777" w:rsidR="00AF3187" w:rsidRPr="006D33A0" w:rsidRDefault="00AF3187" w:rsidP="00FC4471">
            <w:pPr>
              <w:spacing w:beforeLines="60" w:before="144" w:afterLines="60" w:after="144" w:line="240" w:lineRule="auto"/>
              <w:ind w:left="313" w:hanging="313"/>
              <w:jc w:val="both"/>
              <w:rPr>
                <w:rFonts w:ascii="Times New Roman" w:eastAsia="Times New Roman" w:hAnsi="Times New Roman" w:cs="Times New Roman"/>
                <w:szCs w:val="20"/>
              </w:rPr>
            </w:pPr>
            <w:r w:rsidRPr="006D33A0">
              <w:rPr>
                <w:rFonts w:ascii="Times New Roman" w:eastAsia="Times New Roman" w:hAnsi="Times New Roman" w:cs="Times New Roman"/>
                <w:szCs w:val="20"/>
                <w:lang w:eastAsia="pl-PL"/>
              </w:rPr>
              <w:t>2)</w:t>
            </w:r>
            <w:r w:rsidRPr="006D33A0">
              <w:rPr>
                <w:rFonts w:ascii="Times New Roman" w:eastAsia="Times New Roman" w:hAnsi="Times New Roman" w:cs="Times New Roman"/>
                <w:szCs w:val="20"/>
                <w:lang w:eastAsia="pl-PL"/>
              </w:rPr>
              <w:tab/>
            </w:r>
            <w:r w:rsidRPr="006D33A0">
              <w:rPr>
                <w:rFonts w:ascii="Times New Roman" w:eastAsia="Times New Roman" w:hAnsi="Times New Roman" w:cs="Times New Roman"/>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na nabywcę ułamkowej części własności lokalu użytkowego po wpłacie pełnej ceny przez nabywcę lub zobowiązaniu do udzielenia takiej zgody, jeżeli takie obciążenie istnieje.</w:t>
            </w:r>
          </w:p>
        </w:tc>
      </w:tr>
      <w:tr w:rsidR="00AF3187" w:rsidRPr="002835A8" w14:paraId="7D438283" w14:textId="77777777" w:rsidTr="00FC4471">
        <w:trPr>
          <w:trHeight w:val="1512"/>
        </w:trPr>
        <w:tc>
          <w:tcPr>
            <w:tcW w:w="9782" w:type="dxa"/>
            <w:gridSpan w:val="3"/>
            <w:tcBorders>
              <w:top w:val="nil"/>
              <w:bottom w:val="nil"/>
            </w:tcBorders>
            <w:shd w:val="clear" w:color="auto" w:fill="FFFFFF"/>
          </w:tcPr>
          <w:p w14:paraId="0D3790A9" w14:textId="77777777" w:rsidR="00AF3187" w:rsidRPr="006D33A0" w:rsidRDefault="00AF3187" w:rsidP="00FC4471">
            <w:pPr>
              <w:spacing w:beforeLines="60" w:before="144" w:afterLines="60" w:after="144"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II. Informacja o możliwości zapoznania się w lokalu przedsiębiorstwa przez osobę zainteresowaną zawarciem umowy odpowiednio do zakresu umowy z:</w:t>
            </w:r>
          </w:p>
          <w:p w14:paraId="27B54A6F"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aktualnym stanem księgi wieczystej prowadzonej dla nieruchomości;</w:t>
            </w:r>
          </w:p>
          <w:p w14:paraId="70F55026"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0E10BB1E"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pozwoleniem na budowę albo zgłoszeniem budowy, o którym mowa w art. 29 ust. 1 pkt 1 ustawy z dnia 7 lipca 1994 r. – Prawo budowlane, do którego organ administracji architektoniczno-budowlanej nie wniósł sprzeciwu;</w:t>
            </w:r>
          </w:p>
          <w:p w14:paraId="32E7245F"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sprawozdaniem finansowym dewelopera za ostatnie dwa lata, a w przypadku;</w:t>
            </w:r>
          </w:p>
          <w:p w14:paraId="686B2C5F" w14:textId="77777777" w:rsidR="00AF3187" w:rsidRPr="006D33A0" w:rsidRDefault="00AF3187" w:rsidP="00FC4471">
            <w:pPr>
              <w:widowControl w:val="0"/>
              <w:autoSpaceDE w:val="0"/>
              <w:autoSpaceDN w:val="0"/>
              <w:adjustRightInd w:val="0"/>
              <w:spacing w:beforeLines="60" w:before="144" w:afterLines="60" w:after="144" w:line="240" w:lineRule="auto"/>
              <w:ind w:left="765"/>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 prowadzenia działalności przez okres krótszy niż dwa lata – sprawozdaniem finansowym za okres ostatniego roku,</w:t>
            </w:r>
          </w:p>
          <w:p w14:paraId="72922CDF" w14:textId="77777777" w:rsidR="00AF3187" w:rsidRPr="006D33A0" w:rsidRDefault="00AF3187" w:rsidP="00FC4471">
            <w:pPr>
              <w:widowControl w:val="0"/>
              <w:autoSpaceDE w:val="0"/>
              <w:autoSpaceDN w:val="0"/>
              <w:adjustRightInd w:val="0"/>
              <w:spacing w:beforeLines="60" w:before="144" w:afterLines="60" w:after="144" w:line="240" w:lineRule="auto"/>
              <w:ind w:left="765"/>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b) realizacji inwestycji przez spółkę celową – sprawozdaniem spółki dominującej oraz spółki celowej;</w:t>
            </w:r>
          </w:p>
          <w:p w14:paraId="6CD06A95"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projektem budowlanym;</w:t>
            </w:r>
          </w:p>
          <w:p w14:paraId="1295D4D6"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decyzją o pozwoleniu na użytkowanie budynku lub zawiadomieniem o zakończeniu budowy, do którego organ nadzoru budowlanego nie wniósł sprzeciwu;</w:t>
            </w:r>
          </w:p>
          <w:p w14:paraId="1912CF37"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zaświadczeniem o samodzielności lokalu;</w:t>
            </w:r>
          </w:p>
          <w:p w14:paraId="01A430AC"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aktem ustanowienia odrębnej własności lokalu;</w:t>
            </w:r>
          </w:p>
          <w:p w14:paraId="12EBF919" w14:textId="77777777" w:rsidR="00AF3187" w:rsidRPr="006D33A0" w:rsidRDefault="00AF3187" w:rsidP="00AF3187">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dokumentem potwierdzającym:</w:t>
            </w:r>
          </w:p>
          <w:p w14:paraId="01BFF9EC" w14:textId="77777777" w:rsidR="00AF3187" w:rsidRPr="006D33A0" w:rsidRDefault="00AF3187" w:rsidP="00AF3187">
            <w:pPr>
              <w:widowControl w:val="0"/>
              <w:numPr>
                <w:ilvl w:val="0"/>
                <w:numId w:val="3"/>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 xml:space="preserve">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na nabywcę własności </w:t>
            </w:r>
            <w:r w:rsidRPr="006D33A0">
              <w:rPr>
                <w:rFonts w:ascii="Times New Roman" w:eastAsia="Times New Roman" w:hAnsi="Times New Roman" w:cs="Times New Roman"/>
                <w:szCs w:val="20"/>
              </w:rPr>
              <w:lastRenderedPageBreak/>
              <w:t>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r w:rsidRPr="006D33A0">
              <w:rPr>
                <w:rFonts w:ascii="Times New Roman" w:eastAsia="Times New Roman" w:hAnsi="Times New Roman" w:cs="Times New Roman"/>
                <w:szCs w:val="20"/>
                <w:lang w:eastAsia="pl-PL"/>
              </w:rPr>
              <w:t xml:space="preserve">, </w:t>
            </w:r>
          </w:p>
          <w:p w14:paraId="3CE37670" w14:textId="77777777" w:rsidR="00AF3187" w:rsidRPr="006D33A0" w:rsidRDefault="00AF3187" w:rsidP="00AF3187">
            <w:pPr>
              <w:widowControl w:val="0"/>
              <w:numPr>
                <w:ilvl w:val="0"/>
                <w:numId w:val="3"/>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na nabywcę ułamkowej części własności lokalu użytkowego po wpłacie pełnej ceny przez nabywcę lub zobowiązanie do udzielenia takiej zgody, jeżeli takie obciążenie istnieje.</w:t>
            </w:r>
          </w:p>
        </w:tc>
      </w:tr>
      <w:tr w:rsidR="00AF3187" w:rsidRPr="002835A8" w14:paraId="46D35B72" w14:textId="77777777" w:rsidTr="00FC4471">
        <w:trPr>
          <w:trHeight w:val="1512"/>
        </w:trPr>
        <w:tc>
          <w:tcPr>
            <w:tcW w:w="9782" w:type="dxa"/>
            <w:gridSpan w:val="3"/>
            <w:tcBorders>
              <w:top w:val="nil"/>
            </w:tcBorders>
            <w:shd w:val="clear" w:color="auto" w:fill="FFFFFF"/>
          </w:tcPr>
          <w:p w14:paraId="21F2D041" w14:textId="77777777" w:rsidR="00AF3187" w:rsidRPr="006D33A0" w:rsidRDefault="00AF3187" w:rsidP="00FC4471">
            <w:pPr>
              <w:spacing w:beforeLines="60" w:before="144" w:afterLines="60" w:after="144"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lastRenderedPageBreak/>
              <w:t>III. Informacja:</w:t>
            </w:r>
          </w:p>
          <w:p w14:paraId="7B2C2068" w14:textId="77777777" w:rsidR="00AF3187" w:rsidRPr="006D33A0" w:rsidRDefault="00AF3187" w:rsidP="00FC4471">
            <w:pPr>
              <w:spacing w:beforeLines="60" w:before="144" w:afterLines="60" w:after="144"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 xml:space="preserve">Środki pieniężne zgromadzone </w:t>
            </w:r>
            <w:r w:rsidRPr="008F74FC">
              <w:rPr>
                <w:rFonts w:ascii="Times New Roman" w:eastAsia="Times New Roman" w:hAnsi="Times New Roman" w:cs="Times New Roman"/>
                <w:szCs w:val="20"/>
                <w:highlight w:val="yellow"/>
              </w:rPr>
              <w:t>w</w:t>
            </w:r>
            <w:r w:rsidRPr="008F74FC">
              <w:rPr>
                <w:rFonts w:ascii="Times New Roman" w:hAnsi="Times New Roman" w:cs="Times New Roman"/>
                <w:szCs w:val="20"/>
                <w:highlight w:val="yellow"/>
              </w:rPr>
              <w:t xml:space="preserve"> …,</w:t>
            </w:r>
            <w:r w:rsidRPr="006D33A0">
              <w:rPr>
                <w:rFonts w:ascii="Times New Roman" w:hAnsi="Times New Roman" w:cs="Times New Roman"/>
                <w:szCs w:val="20"/>
              </w:rPr>
              <w:t xml:space="preserve"> </w:t>
            </w:r>
            <w:r w:rsidRPr="006D33A0">
              <w:rPr>
                <w:rFonts w:ascii="Times New Roman" w:eastAsia="Times New Roman" w:hAnsi="Times New Roman" w:cs="Times New Roman"/>
                <w:szCs w:val="20"/>
              </w:rPr>
              <w:t>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66E42AF8" w14:textId="77777777" w:rsidR="00AF3187" w:rsidRPr="006D33A0" w:rsidRDefault="00AF3187" w:rsidP="00FC4471">
            <w:pPr>
              <w:spacing w:beforeLines="60" w:before="144" w:afterLines="60" w:after="144"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Informacje podstawowe o obowiązkowym systemie gwarantowania depozytów:</w:t>
            </w:r>
          </w:p>
          <w:p w14:paraId="5A51493A" w14:textId="77777777" w:rsidR="00AF3187" w:rsidRPr="006D33A0" w:rsidRDefault="00AF3187" w:rsidP="00FC4471">
            <w:pPr>
              <w:spacing w:beforeLines="60" w:before="144" w:afterLines="60" w:after="144" w:line="240" w:lineRule="auto"/>
              <w:ind w:left="313" w:hanging="313"/>
              <w:jc w:val="both"/>
              <w:rPr>
                <w:rFonts w:ascii="Times New Roman" w:hAnsi="Times New Roman" w:cs="Times New Roman"/>
                <w:szCs w:val="20"/>
              </w:rPr>
            </w:pPr>
            <w:r w:rsidRPr="006D33A0">
              <w:rPr>
                <w:rFonts w:ascii="Times New Roman" w:eastAsia="Times New Roman" w:hAnsi="Times New Roman" w:cs="Times New Roman"/>
                <w:szCs w:val="20"/>
              </w:rPr>
              <w:t>–</w:t>
            </w:r>
            <w:r w:rsidRPr="006D33A0">
              <w:rPr>
                <w:rFonts w:ascii="Times New Roman" w:eastAsia="Times New Roman" w:hAnsi="Times New Roman" w:cs="Times New Roman"/>
                <w:szCs w:val="20"/>
              </w:rPr>
              <w:tab/>
              <w:t xml:space="preserve">ochrona środków dotyczy sytuacji spełnienia warunku gwarancji </w:t>
            </w:r>
            <w:r w:rsidRPr="008F74FC">
              <w:rPr>
                <w:rFonts w:ascii="Times New Roman" w:eastAsia="Times New Roman" w:hAnsi="Times New Roman" w:cs="Times New Roman"/>
                <w:szCs w:val="20"/>
                <w:highlight w:val="yellow"/>
              </w:rPr>
              <w:t xml:space="preserve">wobec </w:t>
            </w:r>
            <w:r w:rsidRPr="008F74FC">
              <w:rPr>
                <w:rFonts w:ascii="Times New Roman" w:hAnsi="Times New Roman" w:cs="Times New Roman"/>
                <w:szCs w:val="20"/>
                <w:highlight w:val="yellow"/>
              </w:rPr>
              <w:t>….,</w:t>
            </w:r>
          </w:p>
          <w:p w14:paraId="7B732DCD" w14:textId="77777777" w:rsidR="00AF3187" w:rsidRPr="006D33A0" w:rsidRDefault="00AF3187" w:rsidP="00FC4471">
            <w:pPr>
              <w:spacing w:beforeLines="60" w:before="144" w:afterLines="60" w:after="144" w:line="240" w:lineRule="auto"/>
              <w:ind w:left="313" w:hanging="313"/>
              <w:jc w:val="both"/>
              <w:rPr>
                <w:rFonts w:ascii="Times New Roman" w:eastAsia="Times New Roman" w:hAnsi="Times New Roman" w:cs="Times New Roman"/>
                <w:szCs w:val="20"/>
              </w:rPr>
            </w:pPr>
            <w:r w:rsidRPr="006D33A0">
              <w:rPr>
                <w:rFonts w:ascii="Times New Roman" w:eastAsia="Times New Roman" w:hAnsi="Times New Roman" w:cs="Times New Roman"/>
                <w:szCs w:val="20"/>
              </w:rPr>
              <w:t>–</w:t>
            </w:r>
            <w:r w:rsidRPr="006D33A0">
              <w:rPr>
                <w:rFonts w:ascii="Times New Roman" w:eastAsia="Times New Roman" w:hAnsi="Times New Roman" w:cs="Times New Roman"/>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0CB11BB8" w14:textId="77777777" w:rsidR="00AF3187" w:rsidRPr="006D33A0" w:rsidRDefault="00AF3187" w:rsidP="00FC4471">
            <w:pPr>
              <w:spacing w:beforeLines="60" w:before="144" w:afterLines="60" w:after="144" w:line="240" w:lineRule="auto"/>
              <w:ind w:left="313" w:hanging="313"/>
              <w:jc w:val="both"/>
              <w:rPr>
                <w:rFonts w:ascii="Times New Roman" w:eastAsia="Times New Roman" w:hAnsi="Times New Roman" w:cs="Times New Roman"/>
                <w:szCs w:val="20"/>
              </w:rPr>
            </w:pPr>
            <w:r w:rsidRPr="006D33A0">
              <w:rPr>
                <w:rFonts w:ascii="Times New Roman" w:eastAsia="Times New Roman" w:hAnsi="Times New Roman" w:cs="Times New Roman"/>
                <w:szCs w:val="20"/>
              </w:rPr>
              <w:t>–</w:t>
            </w:r>
            <w:r w:rsidRPr="006D33A0">
              <w:rPr>
                <w:rFonts w:ascii="Times New Roman" w:eastAsia="Times New Roman" w:hAnsi="Times New Roman" w:cs="Times New Roman"/>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01811A45" w14:textId="77777777" w:rsidR="00AF3187" w:rsidRPr="006D33A0" w:rsidRDefault="00AF3187" w:rsidP="00FC4471">
            <w:pPr>
              <w:spacing w:beforeLines="60" w:before="144" w:afterLines="60" w:after="144" w:line="240" w:lineRule="auto"/>
              <w:ind w:left="313" w:hanging="313"/>
              <w:jc w:val="both"/>
              <w:rPr>
                <w:rFonts w:ascii="Times New Roman" w:eastAsia="Times New Roman" w:hAnsi="Times New Roman" w:cs="Times New Roman"/>
                <w:szCs w:val="20"/>
              </w:rPr>
            </w:pPr>
            <w:r w:rsidRPr="006D33A0">
              <w:rPr>
                <w:rFonts w:ascii="Times New Roman" w:eastAsia="Times New Roman" w:hAnsi="Times New Roman" w:cs="Times New Roman"/>
                <w:szCs w:val="20"/>
              </w:rPr>
              <w:t>–</w:t>
            </w:r>
            <w:r w:rsidRPr="006D33A0">
              <w:rPr>
                <w:rFonts w:ascii="Times New Roman" w:eastAsia="Times New Roman" w:hAnsi="Times New Roman" w:cs="Times New Roman"/>
                <w:szCs w:val="20"/>
              </w:rPr>
              <w:tab/>
              <w:t>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50D973ED" w14:textId="77777777" w:rsidR="00AF3187" w:rsidRPr="006D33A0" w:rsidRDefault="00AF3187" w:rsidP="00FC4471">
            <w:pPr>
              <w:spacing w:beforeLines="60" w:before="144" w:afterLines="60" w:after="144" w:line="240" w:lineRule="auto"/>
              <w:ind w:left="313" w:hanging="313"/>
              <w:jc w:val="both"/>
              <w:rPr>
                <w:rFonts w:ascii="Times New Roman" w:eastAsia="Times New Roman" w:hAnsi="Times New Roman" w:cs="Times New Roman"/>
                <w:szCs w:val="20"/>
              </w:rPr>
            </w:pPr>
            <w:r w:rsidRPr="006D33A0">
              <w:rPr>
                <w:rFonts w:ascii="Times New Roman" w:eastAsia="Times New Roman" w:hAnsi="Times New Roman" w:cs="Times New Roman"/>
                <w:szCs w:val="20"/>
              </w:rPr>
              <w:t>–</w:t>
            </w:r>
            <w:r w:rsidRPr="006D33A0">
              <w:rPr>
                <w:rFonts w:ascii="Times New Roman" w:eastAsia="Times New Roman" w:hAnsi="Times New Roman" w:cs="Times New Roman"/>
                <w:szCs w:val="20"/>
              </w:rPr>
              <w:tab/>
              <w:t>wypłata środków gwarantowanych – co do zasady – następuje w terminie 7 dni roboczych od dnia spełnienia warunku gwarancji wobec banku lub kasy,</w:t>
            </w:r>
          </w:p>
          <w:p w14:paraId="4141210B" w14:textId="77777777" w:rsidR="00AF3187" w:rsidRPr="006D33A0" w:rsidRDefault="00AF3187" w:rsidP="00FC4471">
            <w:pPr>
              <w:spacing w:beforeLines="60" w:before="144" w:afterLines="60" w:after="144" w:line="240" w:lineRule="auto"/>
              <w:ind w:left="313" w:hanging="313"/>
              <w:jc w:val="both"/>
              <w:rPr>
                <w:rFonts w:ascii="Times New Roman" w:eastAsia="Times New Roman" w:hAnsi="Times New Roman" w:cs="Times New Roman"/>
                <w:szCs w:val="20"/>
              </w:rPr>
            </w:pPr>
            <w:r w:rsidRPr="006D33A0">
              <w:rPr>
                <w:rFonts w:ascii="Times New Roman" w:eastAsia="Times New Roman" w:hAnsi="Times New Roman" w:cs="Times New Roman"/>
                <w:szCs w:val="20"/>
              </w:rPr>
              <w:t>–</w:t>
            </w:r>
            <w:r w:rsidRPr="006D33A0">
              <w:rPr>
                <w:rFonts w:ascii="Times New Roman" w:eastAsia="Times New Roman" w:hAnsi="Times New Roman" w:cs="Times New Roman"/>
                <w:szCs w:val="20"/>
              </w:rPr>
              <w:tab/>
              <w:t>wypłata środków gwarantowanych jest dokonywana w złotych,</w:t>
            </w:r>
          </w:p>
          <w:p w14:paraId="7A9D6F0C" w14:textId="77777777" w:rsidR="00AF3187" w:rsidRPr="006D33A0" w:rsidRDefault="00AF3187" w:rsidP="00FC4471">
            <w:pPr>
              <w:pStyle w:val="TableParagraph"/>
              <w:tabs>
                <w:tab w:val="left" w:pos="421"/>
              </w:tabs>
              <w:spacing w:before="144"/>
              <w:ind w:right="100"/>
              <w:jc w:val="both"/>
              <w:rPr>
                <w:szCs w:val="20"/>
              </w:rPr>
            </w:pPr>
            <w:r w:rsidRPr="006D33A0">
              <w:rPr>
                <w:szCs w:val="20"/>
              </w:rPr>
              <w:t xml:space="preserve">–    </w:t>
            </w:r>
            <w:r w:rsidRPr="008F74FC">
              <w:rPr>
                <w:szCs w:val="20"/>
                <w:highlight w:val="yellow"/>
              </w:rPr>
              <w:t>…. k</w:t>
            </w:r>
            <w:r w:rsidRPr="006D33A0">
              <w:rPr>
                <w:szCs w:val="20"/>
              </w:rPr>
              <w:t xml:space="preserve">orzysta także z następujących znaków towarowych:  </w:t>
            </w:r>
          </w:p>
          <w:p w14:paraId="04BA0737" w14:textId="77777777" w:rsidR="00AF3187" w:rsidRPr="006D33A0" w:rsidRDefault="00AF3187" w:rsidP="00FC4471">
            <w:pPr>
              <w:spacing w:beforeLines="60" w:before="144" w:afterLines="60" w:after="144"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Dalsze informacje na temat systemu gwarantowania depozytów można uzyskać na stronie internetowej Bankowego Funduszu Gwarancyjnego: https://www.bfg.pl/.</w:t>
            </w:r>
          </w:p>
          <w:p w14:paraId="6FB3732A" w14:textId="77777777" w:rsidR="00AF3187" w:rsidRPr="006D33A0" w:rsidRDefault="00AF3187" w:rsidP="00FC4471">
            <w:pPr>
              <w:spacing w:after="0"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5255F636" w14:textId="77777777" w:rsidR="00AF3187" w:rsidRPr="006D33A0" w:rsidRDefault="00AF3187" w:rsidP="00FC4471">
            <w:pPr>
              <w:spacing w:after="0"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7F5FF491" w14:textId="77777777" w:rsidR="00CE0156" w:rsidRDefault="00CE0156"/>
    <w:sectPr w:rsidR="00CE0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5F50" w14:textId="77777777" w:rsidR="00AA494E" w:rsidRDefault="00AA494E" w:rsidP="00AF3187">
      <w:pPr>
        <w:spacing w:after="0" w:line="240" w:lineRule="auto"/>
      </w:pPr>
      <w:r>
        <w:separator/>
      </w:r>
    </w:p>
  </w:endnote>
  <w:endnote w:type="continuationSeparator" w:id="0">
    <w:p w14:paraId="3F5D739C" w14:textId="77777777" w:rsidR="00AA494E" w:rsidRDefault="00AA494E" w:rsidP="00AF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36A0" w14:textId="77777777" w:rsidR="00AA494E" w:rsidRDefault="00AA494E" w:rsidP="00AF3187">
      <w:pPr>
        <w:spacing w:after="0" w:line="240" w:lineRule="auto"/>
      </w:pPr>
      <w:r>
        <w:separator/>
      </w:r>
    </w:p>
  </w:footnote>
  <w:footnote w:type="continuationSeparator" w:id="0">
    <w:p w14:paraId="4924BC54" w14:textId="77777777" w:rsidR="00AA494E" w:rsidRDefault="00AA494E" w:rsidP="00AF3187">
      <w:pPr>
        <w:spacing w:after="0" w:line="240" w:lineRule="auto"/>
      </w:pPr>
      <w:r>
        <w:continuationSeparator/>
      </w:r>
    </w:p>
  </w:footnote>
  <w:footnote w:id="1">
    <w:p w14:paraId="3567F87C" w14:textId="77777777" w:rsidR="00AF3187" w:rsidRPr="009017DC" w:rsidRDefault="00AF3187" w:rsidP="00AF3187">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70B47F3E" w14:textId="77777777" w:rsidR="00AF3187" w:rsidRPr="00143535" w:rsidRDefault="00AF3187" w:rsidP="00AF3187">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57825154" w14:textId="77777777" w:rsidR="00AF3187" w:rsidRPr="00143535" w:rsidRDefault="00AF3187" w:rsidP="00AF3187">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3D76DB42" w14:textId="77777777" w:rsidR="00AF3187" w:rsidRPr="00143535" w:rsidRDefault="00AF3187" w:rsidP="00AF3187">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13C6415B" w14:textId="77777777" w:rsidR="00AF3187" w:rsidRPr="00DB4327"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color w:val="000000" w:themeColor="text1"/>
          <w:sz w:val="18"/>
          <w:szCs w:val="18"/>
        </w:rPr>
        <w:t>dotyczących Inwestycji, Inwestycji Towarzyszących oraz obszaru otoczenia CPK</w:t>
      </w:r>
      <w:r>
        <w:rPr>
          <w:rFonts w:cs="Times New Roman"/>
          <w:color w:val="000000" w:themeColor="text1"/>
          <w:sz w:val="18"/>
          <w:szCs w:val="18"/>
        </w:rPr>
        <w:t>,</w:t>
      </w:r>
    </w:p>
    <w:p w14:paraId="37C5F363" w14:textId="77777777" w:rsidR="00AF3187" w:rsidRPr="00DB4327"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 xml:space="preserve">lokalizacji inwestycji mieszkaniowej lub inwestycji towarzyszącej, </w:t>
      </w:r>
    </w:p>
    <w:p w14:paraId="4016E0B3" w14:textId="77777777" w:rsidR="00AF3187" w:rsidRPr="00DB4327"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48B714A9" w14:textId="77777777" w:rsidR="00AF3187" w:rsidRPr="00DB4327"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ustanowienia strefy ochronnej terenu ochrony bezpośredniej i terenu ochrony pośredniej ujęcia wody,</w:t>
      </w:r>
    </w:p>
    <w:p w14:paraId="32A064DF" w14:textId="77777777" w:rsidR="00AF3187" w:rsidRPr="00DB4327"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wyznaczenia obszarów cichych w aglomeracji lub obszarów cichych poza aglomeracją,</w:t>
      </w:r>
    </w:p>
    <w:p w14:paraId="4E4A91CF" w14:textId="77777777" w:rsidR="00AF3187" w:rsidRPr="00DB4327"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utworzenia obszaru ograniczonego użytkowania,</w:t>
      </w:r>
    </w:p>
    <w:p w14:paraId="1DC88107" w14:textId="77777777" w:rsidR="00AF3187" w:rsidRPr="00DB4327"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uznania zabytku za pomnik historii,</w:t>
      </w:r>
    </w:p>
    <w:p w14:paraId="300AA051" w14:textId="77777777" w:rsidR="00AF3187" w:rsidRPr="00DD0800" w:rsidRDefault="00AF3187" w:rsidP="00AF3187">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określenia</w:t>
      </w:r>
      <w:r w:rsidRPr="00DD0800">
        <w:rPr>
          <w:rFonts w:cs="Times New Roman"/>
          <w:sz w:val="18"/>
          <w:szCs w:val="18"/>
        </w:rPr>
        <w:t xml:space="preserve"> granic obszaru Pomnika Zagłady i jego strefy ochronnej, utworzenia parku kulturowego,</w:t>
      </w:r>
    </w:p>
    <w:p w14:paraId="22B514CD" w14:textId="77777777" w:rsidR="00AF3187" w:rsidRPr="00402D39" w:rsidRDefault="00AF3187" w:rsidP="00AF3187">
      <w:pPr>
        <w:pStyle w:val="Akapitzlist"/>
        <w:numPr>
          <w:ilvl w:val="0"/>
          <w:numId w:val="4"/>
        </w:numPr>
        <w:spacing w:after="0" w:line="240" w:lineRule="auto"/>
        <w:ind w:left="567" w:hanging="283"/>
        <w:jc w:val="both"/>
        <w:rPr>
          <w:rFonts w:cs="Times New Roman"/>
          <w:sz w:val="18"/>
          <w:szCs w:val="18"/>
        </w:rPr>
      </w:pPr>
      <w:r w:rsidRPr="00402D39">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17EBB9FE" w14:textId="77777777" w:rsidR="00AF3187" w:rsidRPr="008B0E61" w:rsidRDefault="00AF3187" w:rsidP="00AF3187">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AC4921">
        <w:rPr>
          <w:rFonts w:ascii="Times New Roman" w:hAnsi="Times New Roman"/>
          <w:sz w:val="18"/>
          <w:szCs w:val="18"/>
        </w:rPr>
        <w:t>W przypadku braku miejscowego planu zagospodarowania przestrzennego umieszcza się informację „Brak planu”</w:t>
      </w:r>
    </w:p>
  </w:footnote>
  <w:footnote w:id="6">
    <w:p w14:paraId="494AFD9F" w14:textId="77777777" w:rsidR="00AF3187" w:rsidRPr="008B0E61" w:rsidRDefault="00AF3187" w:rsidP="00AF3187">
      <w:pPr>
        <w:pStyle w:val="Tekstprzypisudolnego"/>
        <w:ind w:left="284" w:hanging="284"/>
        <w:jc w:val="both"/>
        <w:rPr>
          <w:rFonts w:ascii="Times New Roman" w:hAnsi="Times New Roman"/>
          <w:sz w:val="18"/>
          <w:szCs w:val="18"/>
        </w:rPr>
      </w:pPr>
      <w:r w:rsidRPr="00972746">
        <w:rPr>
          <w:rStyle w:val="Odwoanieprzypisudolnego"/>
        </w:rPr>
        <w:t>6)</w:t>
      </w:r>
      <w:r w:rsidRPr="00972746">
        <w:t xml:space="preserve"> </w:t>
      </w:r>
      <w:r w:rsidRPr="00972746">
        <w:rPr>
          <w:rFonts w:ascii="Times New Roman" w:hAnsi="Times New Roman"/>
          <w:sz w:val="18"/>
          <w:szCs w:val="18"/>
        </w:rPr>
        <w:tab/>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5CF08704" w14:textId="77777777" w:rsidR="00AF3187" w:rsidRPr="008B0E61" w:rsidRDefault="00AF3187" w:rsidP="00AF3187">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12787E85" w14:textId="77777777" w:rsidR="00AF3187" w:rsidRPr="008B0E61" w:rsidRDefault="00AF3187" w:rsidP="00AF3187">
      <w:pPr>
        <w:pStyle w:val="Tekstprzypisudolnego"/>
        <w:ind w:left="284" w:hanging="284"/>
        <w:jc w:val="both"/>
        <w:rPr>
          <w:rFonts w:ascii="Times New Roman" w:hAnsi="Times New Roman"/>
          <w:sz w:val="18"/>
          <w:szCs w:val="18"/>
        </w:rPr>
      </w:pPr>
      <w:r>
        <w:rPr>
          <w:rStyle w:val="Odwoanieprzypisudolnego"/>
        </w:rPr>
        <w:t>7)</w:t>
      </w:r>
      <w:r>
        <w:t xml:space="preserve"> </w:t>
      </w:r>
      <w:r>
        <w:rPr>
          <w:rFonts w:ascii="Times New Roman" w:hAnsi="Times New Roman"/>
          <w:sz w:val="18"/>
          <w:szCs w:val="18"/>
        </w:rPr>
        <w:tab/>
      </w:r>
      <w:r w:rsidRPr="00AC4921">
        <w:rPr>
          <w:rFonts w:ascii="Times New Roman" w:hAnsi="Times New Roman"/>
          <w:sz w:val="18"/>
          <w:szCs w:val="18"/>
        </w:rPr>
        <w:t>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 o ochronie praw nabywcy lokalu mieszkalnego lub domu jednorodzinnego oraz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7628876">
    <w:abstractNumId w:val="2"/>
  </w:num>
  <w:num w:numId="2" w16cid:durableId="569390597">
    <w:abstractNumId w:val="3"/>
  </w:num>
  <w:num w:numId="3" w16cid:durableId="487014723">
    <w:abstractNumId w:val="0"/>
  </w:num>
  <w:num w:numId="4" w16cid:durableId="84228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BD"/>
    <w:rsid w:val="00280B56"/>
    <w:rsid w:val="003602BD"/>
    <w:rsid w:val="009B5A36"/>
    <w:rsid w:val="00AA494E"/>
    <w:rsid w:val="00AF3187"/>
    <w:rsid w:val="00CE01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5D800-E685-4DBF-824F-E7CB3A9F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3187"/>
    <w:rPr>
      <w:kern w:val="0"/>
      <w14:ligatures w14:val="none"/>
    </w:rPr>
  </w:style>
  <w:style w:type="paragraph" w:styleId="Nagwek1">
    <w:name w:val="heading 1"/>
    <w:basedOn w:val="Normalny"/>
    <w:next w:val="Normalny"/>
    <w:link w:val="Nagwek1Znak"/>
    <w:uiPriority w:val="9"/>
    <w:qFormat/>
    <w:rsid w:val="00360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60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602B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602B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602B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602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02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02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02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02B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602B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602B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602B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602B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602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02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02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02BD"/>
    <w:rPr>
      <w:rFonts w:eastAsiaTheme="majorEastAsia" w:cstheme="majorBidi"/>
      <w:color w:val="272727" w:themeColor="text1" w:themeTint="D8"/>
    </w:rPr>
  </w:style>
  <w:style w:type="paragraph" w:styleId="Tytu">
    <w:name w:val="Title"/>
    <w:basedOn w:val="Normalny"/>
    <w:next w:val="Normalny"/>
    <w:link w:val="TytuZnak"/>
    <w:uiPriority w:val="10"/>
    <w:qFormat/>
    <w:rsid w:val="00360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02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02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02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02BD"/>
    <w:pPr>
      <w:spacing w:before="160"/>
      <w:jc w:val="center"/>
    </w:pPr>
    <w:rPr>
      <w:i/>
      <w:iCs/>
      <w:color w:val="404040" w:themeColor="text1" w:themeTint="BF"/>
    </w:rPr>
  </w:style>
  <w:style w:type="character" w:customStyle="1" w:styleId="CytatZnak">
    <w:name w:val="Cytat Znak"/>
    <w:basedOn w:val="Domylnaczcionkaakapitu"/>
    <w:link w:val="Cytat"/>
    <w:uiPriority w:val="29"/>
    <w:rsid w:val="003602BD"/>
    <w:rPr>
      <w:i/>
      <w:iCs/>
      <w:color w:val="404040" w:themeColor="text1" w:themeTint="BF"/>
    </w:rPr>
  </w:style>
  <w:style w:type="paragraph" w:styleId="Akapitzlist">
    <w:name w:val="List Paragraph"/>
    <w:basedOn w:val="Normalny"/>
    <w:uiPriority w:val="1"/>
    <w:qFormat/>
    <w:rsid w:val="003602BD"/>
    <w:pPr>
      <w:ind w:left="720"/>
      <w:contextualSpacing/>
    </w:pPr>
  </w:style>
  <w:style w:type="character" w:styleId="Wyrnienieintensywne">
    <w:name w:val="Intense Emphasis"/>
    <w:basedOn w:val="Domylnaczcionkaakapitu"/>
    <w:uiPriority w:val="21"/>
    <w:qFormat/>
    <w:rsid w:val="003602BD"/>
    <w:rPr>
      <w:i/>
      <w:iCs/>
      <w:color w:val="2F5496" w:themeColor="accent1" w:themeShade="BF"/>
    </w:rPr>
  </w:style>
  <w:style w:type="paragraph" w:styleId="Cytatintensywny">
    <w:name w:val="Intense Quote"/>
    <w:basedOn w:val="Normalny"/>
    <w:next w:val="Normalny"/>
    <w:link w:val="CytatintensywnyZnak"/>
    <w:uiPriority w:val="30"/>
    <w:qFormat/>
    <w:rsid w:val="00360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602BD"/>
    <w:rPr>
      <w:i/>
      <w:iCs/>
      <w:color w:val="2F5496" w:themeColor="accent1" w:themeShade="BF"/>
    </w:rPr>
  </w:style>
  <w:style w:type="character" w:styleId="Odwoanieintensywne">
    <w:name w:val="Intense Reference"/>
    <w:basedOn w:val="Domylnaczcionkaakapitu"/>
    <w:uiPriority w:val="32"/>
    <w:qFormat/>
    <w:rsid w:val="003602BD"/>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AF31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3187"/>
    <w:rPr>
      <w:kern w:val="0"/>
      <w:sz w:val="20"/>
      <w:szCs w:val="20"/>
      <w14:ligatures w14:val="none"/>
    </w:rPr>
  </w:style>
  <w:style w:type="character" w:styleId="Odwoanieprzypisudolnego">
    <w:name w:val="footnote reference"/>
    <w:uiPriority w:val="99"/>
    <w:semiHidden/>
    <w:rsid w:val="00AF3187"/>
    <w:rPr>
      <w:rFonts w:cs="Times New Roman"/>
      <w:vertAlign w:val="superscript"/>
    </w:rPr>
  </w:style>
  <w:style w:type="paragraph" w:styleId="Tekstpodstawowy">
    <w:name w:val="Body Text"/>
    <w:basedOn w:val="Normalny"/>
    <w:link w:val="TekstpodstawowyZnak"/>
    <w:uiPriority w:val="1"/>
    <w:qFormat/>
    <w:rsid w:val="00AF3187"/>
    <w:pPr>
      <w:widowControl w:val="0"/>
      <w:autoSpaceDE w:val="0"/>
      <w:autoSpaceDN w:val="0"/>
      <w:spacing w:before="130" w:after="0" w:line="240" w:lineRule="auto"/>
      <w:ind w:left="641" w:firstLine="420"/>
      <w:jc w:val="both"/>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uiPriority w:val="1"/>
    <w:rsid w:val="00AF3187"/>
    <w:rPr>
      <w:rFonts w:ascii="Times New Roman" w:eastAsia="Times New Roman" w:hAnsi="Times New Roman" w:cs="Times New Roman"/>
      <w:kern w:val="0"/>
      <w:sz w:val="20"/>
      <w:szCs w:val="20"/>
      <w14:ligatures w14:val="none"/>
    </w:rPr>
  </w:style>
  <w:style w:type="paragraph" w:customStyle="1" w:styleId="TableParagraph">
    <w:name w:val="Table Paragraph"/>
    <w:basedOn w:val="Normalny"/>
    <w:uiPriority w:val="1"/>
    <w:qFormat/>
    <w:rsid w:val="00AF318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3341</Words>
  <Characters>20050</Characters>
  <Application>Microsoft Office Word</Application>
  <DocSecurity>0</DocSecurity>
  <Lines>167</Lines>
  <Paragraphs>46</Paragraphs>
  <ScaleCrop>false</ScaleCrop>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Kuba</dc:creator>
  <cp:keywords/>
  <dc:description/>
  <cp:lastModifiedBy>Jakub Kuba</cp:lastModifiedBy>
  <cp:revision>2</cp:revision>
  <dcterms:created xsi:type="dcterms:W3CDTF">2025-09-04T11:55:00Z</dcterms:created>
  <dcterms:modified xsi:type="dcterms:W3CDTF">2025-09-04T11:55:00Z</dcterms:modified>
</cp:coreProperties>
</file>